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92"/>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4"/>
        <w:gridCol w:w="5953"/>
      </w:tblGrid>
      <w:tr>
        <w:trPr/>
        <w:tc>
          <w:tcPr>
            <w:tcBorders/>
            <w:tcW w:w="3114" w:type="dxa"/>
            <w:textDirection w:val="lrTb"/>
            <w:noWrap w:val="false"/>
          </w:tcPr>
          <w:p>
            <w:pPr>
              <w:pBdr/>
              <w:tabs>
                <w:tab w:val="center" w:leader="none" w:pos="1701"/>
                <w:tab w:val="center" w:leader="none" w:pos="6521"/>
              </w:tabs>
              <w:spacing w:after="0" w:before="0"/>
              <w:ind w:firstLine="0"/>
              <w:jc w:val="center"/>
              <w:rPr>
                <w:rFonts w:ascii="Times New Roman" w:hAnsi="Times New Roman"/>
                <w:bCs/>
                <w:sz w:val="26"/>
                <w:szCs w:val="26"/>
              </w:rPr>
            </w:pPr>
            <w:r>
              <w:rPr>
                <w:rFonts w:ascii="Times New Roman" w:hAnsi="Times New Roman"/>
                <w:bCs/>
                <w:sz w:val="26"/>
                <w:szCs w:val="26"/>
              </w:rPr>
              <w:t xml:space="preserve">UBND TỈNH TÂY NINH</w:t>
            </w:r>
            <w:r>
              <w:rPr>
                <w:rFonts w:ascii="Times New Roman" w:hAnsi="Times New Roman"/>
                <w:bCs/>
                <w:sz w:val="26"/>
                <w:szCs w:val="26"/>
              </w:rPr>
            </w:r>
          </w:p>
          <w:p>
            <w:pPr>
              <w:pBdr/>
              <w:tabs>
                <w:tab w:val="center" w:leader="none" w:pos="1701"/>
                <w:tab w:val="center" w:leader="none" w:pos="6521"/>
              </w:tabs>
              <w:spacing w:after="0" w:before="0"/>
              <w:ind w:firstLine="0"/>
              <w:jc w:val="center"/>
              <w:rPr>
                <w:rFonts w:ascii="Times New Roman" w:hAnsi="Times New Roman"/>
                <w:bCs/>
                <w:sz w:val="26"/>
                <w:szCs w:val="26"/>
              </w:rPr>
            </w:pPr>
            <w:r>
              <w:rPr>
                <w:rFonts w:ascii="Times New Roman" w:hAnsi="Times New Roman"/>
                <w:b/>
                <w:bCs/>
                <w:sz w:val="26"/>
                <w:szCs w:val="26"/>
              </w:rPr>
              <w:t xml:space="preserve">SỞ XÂY DỰNG</w:t>
            </w:r>
            <w:r>
              <w:rPr>
                <w:rFonts w:ascii="Times New Roman" w:hAnsi="Times New Roman"/>
                <w:bCs/>
                <w:sz w:val="26"/>
                <w:szCs w:val="26"/>
              </w:rPr>
            </w:r>
          </w:p>
        </w:tc>
        <w:tc>
          <w:tcPr>
            <w:tcBorders/>
            <w:tcW w:w="5953" w:type="dxa"/>
            <w:textDirection w:val="lrTb"/>
            <w:noWrap w:val="false"/>
          </w:tcPr>
          <w:p>
            <w:pPr>
              <w:pBdr/>
              <w:tabs>
                <w:tab w:val="center" w:leader="none" w:pos="1701"/>
              </w:tabs>
              <w:spacing w:after="0" w:before="0"/>
              <w:ind w:firstLine="0"/>
              <w:jc w:val="center"/>
              <w:rPr>
                <w:rFonts w:ascii="Times New Roman" w:hAnsi="Times New Roman"/>
                <w:bCs/>
                <w:sz w:val="26"/>
                <w:szCs w:val="26"/>
              </w:rPr>
            </w:pPr>
            <w:r>
              <w:rPr>
                <w:rFonts w:ascii="Times New Roman" w:hAnsi="Times New Roman"/>
                <w:b/>
                <w:sz w:val="26"/>
                <w:szCs w:val="26"/>
              </w:rPr>
              <w:t xml:space="preserve">CỘNG</w:t>
            </w:r>
            <w:r>
              <w:rPr>
                <w:rFonts w:ascii="Times New Roman" w:hAnsi="Times New Roman"/>
                <w:b/>
                <w:bCs/>
                <w:sz w:val="26"/>
                <w:szCs w:val="26"/>
              </w:rPr>
              <w:t xml:space="preserve"> HÒA XÃ HỘI CHỦ NGHĨA VIỆT NAM</w:t>
            </w:r>
            <w:r>
              <w:rPr>
                <w:rFonts w:ascii="Times New Roman" w:hAnsi="Times New Roman"/>
                <w:b/>
                <w:sz w:val="26"/>
                <w:szCs w:val="26"/>
              </w:rPr>
              <w:t xml:space="preserve"> Độc lập - Tự do - Hạnh phúc</w:t>
            </w:r>
            <w:r>
              <w:rPr>
                <w:rFonts w:ascii="Times New Roman" w:hAnsi="Times New Roman"/>
                <w:bCs/>
                <w:sz w:val="26"/>
                <w:szCs w:val="26"/>
              </w:rPr>
            </w:r>
          </w:p>
        </w:tc>
      </w:tr>
      <w:tr>
        <w:trPr/>
        <w:tc>
          <w:tcPr>
            <w:tcBorders/>
            <w:tcW w:w="3114" w:type="dxa"/>
            <w:textDirection w:val="lrTb"/>
            <w:noWrap w:val="false"/>
          </w:tcPr>
          <w:p>
            <w:pPr>
              <w:pBdr/>
              <w:tabs>
                <w:tab w:val="center" w:leader="none" w:pos="1701"/>
                <w:tab w:val="center" w:leader="none" w:pos="6521"/>
              </w:tabs>
              <w:spacing w:after="0" w:before="0"/>
              <w:ind w:firstLine="0"/>
              <w:jc w:val="center"/>
              <w:rPr>
                <w:rFonts w:ascii="Times New Roman" w:hAnsi="Times New Roman"/>
                <w:sz w:val="26"/>
                <w:szCs w:val="26"/>
              </w:rPr>
            </w:pPr>
            <w:r>
              <w:rPr>
                <w:rFonts w:ascii="Times New Roman" w:hAnsi="Times New Roman"/>
                <w:sz w:val="26"/>
                <w:szCs w:val="26"/>
              </w:rPr>
              <mc:AlternateContent>
                <mc:Choice Requires="wpg">
                  <w:drawing>
                    <wp:anchor xmlns:wp="http://schemas.openxmlformats.org/drawingml/2006/wordprocessingDrawing" xmlns:wp14="http://schemas.microsoft.com/office/word/2010/wordprocessingDrawing" distT="0" distB="4294967294" distL="114300" distR="114300" simplePos="0" relativeHeight="251658240" behindDoc="0" locked="0" layoutInCell="1" allowOverlap="1">
                      <wp:simplePos x="0" y="0"/>
                      <wp:positionH relativeFrom="margin">
                        <wp:posOffset>600063</wp:posOffset>
                      </wp:positionH>
                      <wp:positionV relativeFrom="paragraph">
                        <wp:posOffset>41886</wp:posOffset>
                      </wp:positionV>
                      <wp:extent cx="575945" cy="0"/>
                      <wp:effectExtent l="0" t="0" r="0" b="0"/>
                      <wp:wrapNone/>
                      <wp:docPr id="1" name="Straight Arrow Connector 2"/>
                      <wp:cNvGraphicFramePr/>
                      <a:graphic xmlns:a="http://schemas.openxmlformats.org/drawingml/2006/main">
                        <a:graphicData uri="http://schemas.microsoft.com/office/word/2010/wordprocessingShape">
                          <wps:wsp>
                            <wps:cNvPr id="0" name=""/>
                            <wps:cNvSpPr/>
                            <wps:spPr bwMode="auto">
                              <a:xfrm>
                                <a:off x="0" y="0"/>
                                <a:ext cx="575945"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0" o:spid="_x0000_s0" o:spt="32" type="#_x0000_t32" style="position:absolute;z-index:251658240;o:allowoverlap:true;o:allowincell:true;mso-position-horizontal-relative:margin;margin-left:47.25pt;mso-position-horizontal:absolute;mso-position-vertical-relative:text;margin-top:3.30pt;mso-position-vertical:absolute;width:45.35pt;height:0.00pt;mso-wrap-distance-left:9.00pt;mso-wrap-distance-top:0.00pt;mso-wrap-distance-right:9.00pt;mso-wrap-distance-bottom:-169093.20pt;visibility:visible;" filled="f" strokecolor="#000000" strokeweight="0.75pt"/>
                  </w:pict>
                </mc:Fallback>
              </mc:AlternateContent>
            </w:r>
            <w:r>
              <w:rPr>
                <w:rFonts w:ascii="Times New Roman" w:hAnsi="Times New Roman"/>
                <w:sz w:val="26"/>
                <w:szCs w:val="26"/>
              </w:rPr>
            </w:r>
          </w:p>
          <w:p>
            <w:pPr>
              <w:pBdr/>
              <w:tabs>
                <w:tab w:val="center" w:leader="none" w:pos="1701"/>
                <w:tab w:val="center" w:leader="none" w:pos="6521"/>
              </w:tabs>
              <w:spacing w:after="0" w:before="0"/>
              <w:ind w:firstLine="0"/>
              <w:jc w:val="center"/>
              <w:rPr>
                <w:rFonts w:ascii="Times New Roman" w:hAnsi="Times New Roman"/>
                <w:bCs/>
                <w:sz w:val="26"/>
                <w:szCs w:val="26"/>
              </w:rPr>
            </w:pPr>
            <w:r>
              <w:rPr>
                <w:rFonts w:ascii="Times New Roman" w:hAnsi="Times New Roman"/>
                <w:sz w:val="26"/>
                <w:szCs w:val="26"/>
              </w:rPr>
              <w:t xml:space="preserve">Số:           /BC-SXD</w:t>
            </w:r>
            <w:r>
              <w:rPr>
                <w:rFonts w:ascii="Times New Roman" w:hAnsi="Times New Roman"/>
                <w:bCs/>
                <w:sz w:val="26"/>
                <w:szCs w:val="26"/>
              </w:rPr>
            </w:r>
          </w:p>
        </w:tc>
        <w:tc>
          <w:tcPr>
            <w:tcBorders/>
            <w:tcW w:w="5953" w:type="dxa"/>
            <w:textDirection w:val="lrTb"/>
            <w:noWrap w:val="false"/>
          </w:tcPr>
          <w:p>
            <w:pPr>
              <w:pBdr/>
              <w:tabs>
                <w:tab w:val="center" w:leader="none" w:pos="1701"/>
                <w:tab w:val="center" w:leader="none" w:pos="6521"/>
              </w:tabs>
              <w:spacing w:after="0" w:before="0"/>
              <w:ind w:firstLine="0"/>
              <w:jc w:val="center"/>
              <w:rPr>
                <w:rFonts w:ascii="Times New Roman" w:hAnsi="Times New Roman"/>
                <w:i/>
                <w:iCs/>
                <w:sz w:val="26"/>
                <w:szCs w:val="26"/>
              </w:rPr>
            </w:pPr>
            <w:r>
              <w:rPr>
                <w:rFonts w:ascii="Times New Roman" w:hAnsi="Times New Roman"/>
                <w:sz w:val="26"/>
                <w:szCs w:val="26"/>
              </w:rPr>
              <mc:AlternateContent>
                <mc:Choice Requires="wpg">
                  <w:drawing>
                    <wp:anchor xmlns:wp="http://schemas.openxmlformats.org/drawingml/2006/wordprocessingDrawing" xmlns:wp14="http://schemas.microsoft.com/office/word/2010/wordprocessingDrawing" distT="0" distB="4294967294" distL="114300" distR="114300" simplePos="0" relativeHeight="251657216" behindDoc="0" locked="0" layoutInCell="1" allowOverlap="1">
                      <wp:simplePos x="0" y="0"/>
                      <wp:positionH relativeFrom="column">
                        <wp:posOffset>830349</wp:posOffset>
                      </wp:positionH>
                      <wp:positionV relativeFrom="paragraph">
                        <wp:posOffset>26670</wp:posOffset>
                      </wp:positionV>
                      <wp:extent cx="1963882" cy="0"/>
                      <wp:effectExtent l="0" t="0" r="0" b="0"/>
                      <wp:wrapNone/>
                      <wp:docPr id="2" name="Straight Arrow Connector 4"/>
                      <wp:cNvGraphicFramePr/>
                      <a:graphic xmlns:a="http://schemas.openxmlformats.org/drawingml/2006/main">
                        <a:graphicData uri="http://schemas.microsoft.com/office/word/2010/wordprocessingShape">
                          <wps:wsp>
                            <wps:cNvPr id="0" name=""/>
                            <wps:cNvSpPr/>
                            <wps:spPr bwMode="auto">
                              <a:xfrm>
                                <a:off x="0" y="0"/>
                                <a:ext cx="1963882"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32" type="#_x0000_t32" style="position:absolute;z-index:251657216;o:allowoverlap:true;o:allowincell:true;mso-position-horizontal-relative:text;margin-left:65.38pt;mso-position-horizontal:absolute;mso-position-vertical-relative:text;margin-top:2.10pt;mso-position-vertical:absolute;width:154.64pt;height:0.00pt;mso-wrap-distance-left:9.00pt;mso-wrap-distance-top:0.00pt;mso-wrap-distance-right:9.00pt;mso-wrap-distance-bottom:-169093.20pt;visibility:visible;" filled="f" strokecolor="#000000" strokeweight="0.75pt"/>
                  </w:pict>
                </mc:Fallback>
              </mc:AlternateContent>
            </w:r>
            <w:r>
              <w:rPr>
                <w:rFonts w:ascii="Times New Roman" w:hAnsi="Times New Roman"/>
                <w:i/>
                <w:iCs/>
                <w:sz w:val="26"/>
                <w:szCs w:val="26"/>
              </w:rPr>
            </w:r>
          </w:p>
          <w:p>
            <w:pPr>
              <w:pBdr/>
              <w:tabs>
                <w:tab w:val="center" w:leader="none" w:pos="1701"/>
                <w:tab w:val="center" w:leader="none" w:pos="6521"/>
              </w:tabs>
              <w:spacing w:after="0" w:before="0"/>
              <w:ind w:firstLine="0"/>
              <w:jc w:val="center"/>
              <w:rPr>
                <w:rFonts w:ascii="Times New Roman" w:hAnsi="Times New Roman"/>
                <w:bCs/>
                <w:sz w:val="26"/>
                <w:szCs w:val="26"/>
              </w:rPr>
            </w:pPr>
            <w:r>
              <w:rPr>
                <w:rFonts w:ascii="Times New Roman" w:hAnsi="Times New Roman"/>
                <w:i/>
                <w:iCs/>
                <w:sz w:val="26"/>
                <w:szCs w:val="26"/>
              </w:rPr>
              <w:t xml:space="preserve">Tây Ninh, ngày</w:t>
            </w:r>
            <w:r>
              <w:rPr>
                <w:rFonts w:ascii="Times New Roman" w:hAnsi="Times New Roman"/>
                <w:i/>
                <w:iCs/>
                <w:sz w:val="26"/>
                <w:szCs w:val="26"/>
              </w:rPr>
              <w:t xml:space="preserve">    </w:t>
            </w:r>
            <w:r>
              <w:rPr>
                <w:rFonts w:ascii="Times New Roman" w:hAnsi="Times New Roman"/>
                <w:i/>
                <w:iCs/>
                <w:sz w:val="26"/>
                <w:szCs w:val="26"/>
              </w:rPr>
              <w:t xml:space="preserve"> tháng </w:t>
            </w:r>
            <w:r>
              <w:rPr>
                <w:rFonts w:ascii="Times New Roman" w:hAnsi="Times New Roman"/>
                <w:i/>
                <w:iCs/>
                <w:sz w:val="26"/>
                <w:szCs w:val="26"/>
              </w:rPr>
              <w:t xml:space="preserve">2 năm 2026</w:t>
            </w:r>
            <w:r>
              <w:rPr>
                <w:rFonts w:ascii="Times New Roman" w:hAnsi="Times New Roman"/>
                <w:bCs/>
                <w:sz w:val="26"/>
                <w:szCs w:val="26"/>
              </w:rPr>
            </w:r>
          </w:p>
        </w:tc>
      </w:tr>
    </w:tbl>
    <w:p>
      <w:pPr>
        <w:pBdr/>
        <w:tabs>
          <w:tab w:val="center" w:leader="none" w:pos="4479"/>
        </w:tabs>
        <w:spacing w:line="360" w:lineRule="atLeast"/>
        <w:ind w:hanging="142" w:left="-284"/>
        <w:rPr>
          <w:rFonts w:ascii="Times New Roman" w:hAnsi="Times New Roman" w:eastAsia="Arial"/>
          <w:i/>
          <w:sz w:val="28"/>
          <w:szCs w:val="28"/>
        </w:rPr>
      </w:pPr>
      <w:r>
        <w:rPr>
          <w:rFonts w:ascii="Times New Roman" w:hAnsi="Times New Roman" w:eastAsia="Arial"/>
          <w:i/>
          <w:sz w:val="28"/>
          <w:szCs w:val="28"/>
        </w:rPr>
        <w:tab/>
      </w:r>
      <w:r>
        <w:rPr>
          <w:rFonts w:ascii="Times New Roman" w:hAnsi="Times New Roman" w:eastAsia="Arial"/>
          <w:i/>
          <w:color w:val="ff0000"/>
          <w:sz w:val="26"/>
          <w:szCs w:val="26"/>
        </w:rPr>
        <w:t xml:space="preserve">(Dự thảo: 02</w:t>
      </w:r>
      <w:bookmarkStart w:id="0" w:name="_GoBack"/>
      <w:r/>
      <w:bookmarkEnd w:id="0"/>
      <w:r>
        <w:rPr>
          <w:rFonts w:ascii="Times New Roman" w:hAnsi="Times New Roman" w:eastAsia="Arial"/>
          <w:i/>
          <w:color w:val="ff0000"/>
          <w:sz w:val="26"/>
          <w:szCs w:val="26"/>
        </w:rPr>
        <w:t xml:space="preserve">/02/2026)</w:t>
      </w:r>
      <w:r>
        <w:rPr>
          <w:rFonts w:ascii="Times New Roman" w:hAnsi="Times New Roman" w:eastAsia="Arial"/>
          <w:i/>
          <w:sz w:val="28"/>
          <w:szCs w:val="28"/>
        </w:rPr>
      </w:r>
    </w:p>
    <w:p>
      <w:pPr>
        <w:pBdr/>
        <w:tabs>
          <w:tab w:val="center" w:leader="none" w:pos="1701"/>
          <w:tab w:val="center" w:leader="none" w:pos="6521"/>
        </w:tabs>
        <w:spacing w:after="0" w:before="0"/>
        <w:ind w:firstLine="0"/>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r>
    </w:p>
    <w:p>
      <w:pPr>
        <w:pBdr/>
        <w:tabs>
          <w:tab w:val="center" w:leader="none" w:pos="1701"/>
          <w:tab w:val="center" w:leader="none" w:pos="6521"/>
        </w:tabs>
        <w:spacing w:after="0" w:before="0"/>
        <w:ind w:firstLine="0"/>
        <w:rPr>
          <w:rFonts w:ascii="Times New Roman" w:hAnsi="Times New Roman"/>
          <w:bCs/>
          <w:sz w:val="26"/>
          <w:szCs w:val="26"/>
        </w:rPr>
      </w:pPr>
      <w:r>
        <w:rPr>
          <w:rFonts w:ascii="Times New Roman" w:hAnsi="Times New Roman"/>
          <w:bCs/>
          <w:sz w:val="26"/>
          <w:szCs w:val="26"/>
        </w:rPr>
      </w:r>
      <w:r>
        <w:rPr>
          <w:rFonts w:ascii="Times New Roman" w:hAnsi="Times New Roman"/>
          <w:bCs/>
          <w:sz w:val="26"/>
          <w:szCs w:val="26"/>
        </w:rPr>
      </w:r>
    </w:p>
    <w:p>
      <w:pPr>
        <w:pBdr/>
        <w:spacing w:after="0" w:before="0"/>
        <w:ind w:firstLine="0"/>
        <w:jc w:val="center"/>
        <w:rPr>
          <w:rFonts w:ascii="Times New Roman" w:hAnsi="Times New Roman"/>
          <w:b/>
          <w:bCs/>
          <w:sz w:val="28"/>
          <w:szCs w:val="28"/>
        </w:rPr>
      </w:pPr>
      <w:r>
        <w:rPr>
          <w:rFonts w:ascii="Times New Roman" w:hAnsi="Times New Roman"/>
          <w:b/>
          <w:bCs/>
          <w:sz w:val="28"/>
          <w:szCs w:val="28"/>
        </w:rPr>
        <w:t xml:space="preserve">BÁO CÁO</w:t>
      </w:r>
      <w:r>
        <w:rPr>
          <w:rFonts w:ascii="Times New Roman" w:hAnsi="Times New Roman"/>
          <w:b/>
          <w:bCs/>
          <w:sz w:val="28"/>
          <w:szCs w:val="28"/>
        </w:rPr>
      </w:r>
    </w:p>
    <w:p>
      <w:pPr>
        <w:pBdr/>
        <w:spacing w:after="0" w:before="0"/>
        <w:ind w:firstLine="0"/>
        <w:jc w:val="center"/>
        <w:rPr>
          <w:rFonts w:ascii="Times New Roman" w:hAnsi="Times New Roman"/>
          <w:b/>
          <w:bCs/>
          <w:sz w:val="28"/>
          <w:szCs w:val="28"/>
        </w:rPr>
      </w:pPr>
      <w:r>
        <w:rPr>
          <w:rFonts w:ascii="Times New Roman" w:hAnsi="Times New Roman"/>
          <w:b/>
          <w:bCs/>
          <w:sz w:val="28"/>
          <w:szCs w:val="28"/>
        </w:rPr>
        <w:t xml:space="preserve">Đánh giá thực hiện Nghị quyết số</w:t>
      </w:r>
      <w:r>
        <w:rPr>
          <w:rFonts w:ascii="Times New Roman" w:hAnsi="Times New Roman"/>
          <w:b/>
          <w:bCs/>
          <w:sz w:val="28"/>
          <w:szCs w:val="28"/>
        </w:rPr>
        <w:t xml:space="preserve"> 100</w:t>
      </w:r>
      <w:r>
        <w:rPr>
          <w:rFonts w:ascii="Times New Roman" w:hAnsi="Times New Roman"/>
          <w:b/>
          <w:bCs/>
          <w:sz w:val="28"/>
          <w:szCs w:val="28"/>
        </w:rPr>
        <w:t xml:space="preserve">/202</w:t>
      </w:r>
      <w:r>
        <w:rPr>
          <w:rFonts w:ascii="Times New Roman" w:hAnsi="Times New Roman"/>
          <w:b/>
          <w:bCs/>
          <w:sz w:val="28"/>
          <w:szCs w:val="28"/>
        </w:rPr>
        <w:t xml:space="preserve">5</w:t>
      </w:r>
      <w:r>
        <w:rPr>
          <w:rFonts w:ascii="Times New Roman" w:hAnsi="Times New Roman"/>
          <w:b/>
          <w:bCs/>
          <w:sz w:val="28"/>
          <w:szCs w:val="28"/>
        </w:rPr>
        <w:t xml:space="preserve">/NQ-HĐND </w:t>
      </w:r>
      <w:r>
        <w:rPr>
          <w:rFonts w:ascii="Times New Roman" w:hAnsi="Times New Roman"/>
          <w:b/>
          <w:bCs/>
          <w:sz w:val="28"/>
          <w:szCs w:val="28"/>
        </w:rPr>
      </w:r>
    </w:p>
    <w:p>
      <w:pPr>
        <w:pBdr/>
        <w:spacing w:after="0" w:before="0"/>
        <w:ind w:firstLine="0"/>
        <w:jc w:val="center"/>
        <w:rPr>
          <w:rFonts w:ascii="Times New Roman" w:hAnsi="Times New Roman"/>
          <w:b/>
          <w:bCs/>
          <w:sz w:val="28"/>
          <w:szCs w:val="28"/>
        </w:rPr>
      </w:pPr>
      <w:r>
        <w:rPr>
          <w:rFonts w:ascii="Times New Roman" w:hAnsi="Times New Roman"/>
          <w:b/>
          <w:bCs/>
          <w:sz w:val="28"/>
          <w:szCs w:val="28"/>
        </w:rPr>
        <w:t xml:space="preserve">ngày </w:t>
      </w:r>
      <w:r>
        <w:rPr>
          <w:rFonts w:ascii="Times New Roman" w:hAnsi="Times New Roman"/>
          <w:b/>
          <w:bCs/>
          <w:sz w:val="28"/>
          <w:szCs w:val="28"/>
        </w:rPr>
        <w:t xml:space="preserve">28</w:t>
      </w:r>
      <w:r>
        <w:rPr>
          <w:rFonts w:ascii="Times New Roman" w:hAnsi="Times New Roman"/>
          <w:b/>
          <w:bCs/>
          <w:sz w:val="28"/>
          <w:szCs w:val="28"/>
        </w:rPr>
        <w:t xml:space="preserve"> tháng </w:t>
      </w:r>
      <w:r>
        <w:rPr>
          <w:rFonts w:ascii="Times New Roman" w:hAnsi="Times New Roman"/>
          <w:b/>
          <w:bCs/>
          <w:sz w:val="28"/>
          <w:szCs w:val="28"/>
        </w:rPr>
        <w:t xml:space="preserve">3</w:t>
      </w:r>
      <w:r>
        <w:rPr>
          <w:rFonts w:ascii="Times New Roman" w:hAnsi="Times New Roman"/>
          <w:b/>
          <w:bCs/>
          <w:sz w:val="28"/>
          <w:szCs w:val="28"/>
        </w:rPr>
        <w:t xml:space="preserve"> năm 202</w:t>
      </w:r>
      <w:r>
        <w:rPr>
          <w:rFonts w:ascii="Times New Roman" w:hAnsi="Times New Roman"/>
          <w:b/>
          <w:bCs/>
          <w:sz w:val="28"/>
          <w:szCs w:val="28"/>
        </w:rPr>
        <w:t xml:space="preserve">5</w:t>
      </w:r>
      <w:r>
        <w:rPr>
          <w:rFonts w:ascii="Times New Roman" w:hAnsi="Times New Roman"/>
          <w:b/>
          <w:bCs/>
          <w:sz w:val="28"/>
          <w:szCs w:val="28"/>
        </w:rPr>
        <w:t xml:space="preserve"> của Hội đồng nhân dân tỉnh </w:t>
      </w:r>
      <w:r>
        <w:rPr>
          <w:rFonts w:ascii="Times New Roman" w:hAnsi="Times New Roman"/>
          <w:b/>
          <w:sz w:val="28"/>
          <w:szCs w:val="28"/>
        </w:rPr>
        <w:t xml:space="preserve">q</w:t>
      </w:r>
      <w:r>
        <w:rPr>
          <w:rFonts w:ascii="Times New Roman" w:hAnsi="Times New Roman"/>
          <w:b/>
          <w:bCs/>
          <w:sz w:val="28"/>
          <w:szCs w:val="28"/>
        </w:rPr>
        <w:t xml:space="preserve">uy định hỗ trợ lãi suất vay vốn tại các tổ chức tín dụng đối với các dự án đầu tư phương tiện xe buýt, đầu tư xây</w:t>
      </w:r>
      <w:r>
        <w:rPr>
          <w:rFonts w:ascii="Times New Roman" w:hAnsi="Times New Roman"/>
          <w:b/>
          <w:bCs/>
          <w:sz w:val="28"/>
          <w:szCs w:val="28"/>
        </w:rPr>
        <w:t xml:space="preserve">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w:t>
      </w:r>
      <w:r>
        <w:rPr>
          <w:rFonts w:ascii="Times New Roman" w:hAnsi="Times New Roman"/>
          <w:b/>
          <w:bCs/>
          <w:sz w:val="28"/>
          <w:szCs w:val="28"/>
        </w:rPr>
      </w:r>
    </w:p>
    <w:p>
      <w:pPr>
        <w:pBdr/>
        <w:spacing w:after="0" w:before="0"/>
        <w:ind w:firstLine="0"/>
        <w:jc w:val="center"/>
        <w:rPr>
          <w:rFonts w:ascii="Times New Roman" w:hAnsi="Times New Roman"/>
          <w:b/>
          <w:bCs/>
          <w:sz w:val="28"/>
          <w:szCs w:val="28"/>
        </w:rPr>
      </w:pPr>
      <w:r>
        <w:rPr>
          <w:rFonts w:ascii="Times New Roman" w:hAnsi="Times New Roman"/>
          <w:b/>
          <w:bCs/>
          <w:sz w:val="28"/>
          <w:szCs w:val="28"/>
        </w:rPr>
        <w:t xml:space="preserve">trên địa bàn tỉnh Tây Ninh</w:t>
      </w:r>
      <w:r>
        <w:rPr>
          <w:rFonts w:ascii="Times New Roman" w:hAnsi="Times New Roman"/>
          <w:b/>
          <w:bCs/>
          <w:sz w:val="28"/>
          <w:szCs w:val="28"/>
        </w:rPr>
      </w:r>
    </w:p>
    <w:p>
      <w:pPr>
        <w:pBdr/>
        <w:spacing w:line="340" w:lineRule="atLeast"/>
        <w:ind/>
        <w:rPr>
          <w:rFonts w:ascii="Times New Roman" w:hAnsi="Times New Roman"/>
          <w:bCs/>
          <w:color w:val="000000"/>
          <w:sz w:val="28"/>
          <w:szCs w:val="28"/>
        </w:rPr>
      </w:pPr>
      <w:r>
        <w:rPr>
          <w:rFonts w:ascii="Times New Roman" w:hAnsi="Times New Roman"/>
          <w:b/>
          <w:bCs/>
          <w:sz w:val="27"/>
          <w:szCs w:val="27"/>
        </w:rPr>
        <mc:AlternateContent>
          <mc:Choice Requires="wpg">
            <w:drawing>
              <wp:anchor xmlns:wp="http://schemas.openxmlformats.org/drawingml/2006/wordprocessingDrawing" xmlns:wp14="http://schemas.microsoft.com/office/word/2010/wordprocessingDrawing" distT="0" distB="0" distL="114300" distR="114300" simplePos="0" relativeHeight="251656192" behindDoc="0" locked="0" layoutInCell="1" allowOverlap="1">
                <wp:simplePos x="0" y="0"/>
                <wp:positionH relativeFrom="column">
                  <wp:posOffset>2402576</wp:posOffset>
                </wp:positionH>
                <wp:positionV relativeFrom="paragraph">
                  <wp:posOffset>51435</wp:posOffset>
                </wp:positionV>
                <wp:extent cx="983663" cy="0"/>
                <wp:effectExtent l="0" t="0" r="0" b="0"/>
                <wp:wrapNone/>
                <wp:docPr id="3" name="AutoShape 4"/>
                <wp:cNvGraphicFramePr/>
                <a:graphic xmlns:a="http://schemas.openxmlformats.org/drawingml/2006/main">
                  <a:graphicData uri="http://schemas.microsoft.com/office/word/2010/wordprocessingShape">
                    <wps:wsp>
                      <wps:cNvPr id="0" name=""/>
                      <wps:cNvSpPr/>
                      <wps:spPr bwMode="auto">
                        <a:xfrm flipV="1">
                          <a:off x="0" y="0"/>
                          <a:ext cx="983662" cy="0"/>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32" type="#_x0000_t32" style="position:absolute;z-index:251656192;o:allowoverlap:true;o:allowincell:true;mso-position-horizontal-relative:text;margin-left:189.18pt;mso-position-horizontal:absolute;mso-position-vertical-relative:text;margin-top:4.05pt;mso-position-vertical:absolute;width:77.45pt;height:0.00pt;mso-wrap-distance-left:9.00pt;mso-wrap-distance-top:0.00pt;mso-wrap-distance-right:9.00pt;mso-wrap-distance-bottom:0.00pt;flip:y;visibility:visible;" filled="f" strokecolor="#000000" strokeweight="0.75pt"/>
            </w:pict>
          </mc:Fallback>
        </mc:AlternateContent>
      </w:r>
      <w:r>
        <w:rPr>
          <w:rFonts w:ascii="Times New Roman" w:hAnsi="Times New Roman"/>
          <w:bCs/>
          <w:color w:val="000000"/>
          <w:sz w:val="28"/>
          <w:szCs w:val="28"/>
        </w:rPr>
      </w:r>
    </w:p>
    <w:p>
      <w:pPr>
        <w:pBdr/>
        <w:spacing/>
        <w:ind w:firstLine="709"/>
        <w:rPr>
          <w:rFonts w:ascii="Times New Roman" w:hAnsi="Times New Roman"/>
          <w:sz w:val="28"/>
          <w:szCs w:val="28"/>
        </w:rPr>
      </w:pPr>
      <w:r>
        <w:rPr>
          <w:rFonts w:ascii="Times New Roman" w:hAnsi="Times New Roman"/>
          <w:sz w:val="28"/>
          <w:szCs w:val="28"/>
        </w:rPr>
        <w:t xml:space="preserve">Thực h</w:t>
      </w:r>
      <w:r>
        <w:rPr>
          <w:rFonts w:ascii="Times New Roman" w:hAnsi="Times New Roman"/>
          <w:sz w:val="28"/>
          <w:szCs w:val="28"/>
        </w:rPr>
        <w:t xml:space="preserve">iện nhiệm vụ được giao</w:t>
      </w:r>
      <w:r>
        <w:rPr>
          <w:rFonts w:ascii="Times New Roman" w:hAnsi="Times New Roman"/>
          <w:sz w:val="28"/>
          <w:szCs w:val="28"/>
        </w:rPr>
        <w:t xml:space="preserve">, </w:t>
      </w:r>
      <w:r>
        <w:rPr>
          <w:rFonts w:ascii="Times New Roman" w:hAnsi="Times New Roman"/>
          <w:sz w:val="28"/>
          <w:szCs w:val="28"/>
        </w:rPr>
        <w:t xml:space="preserve">Sở Xây dựng báo cáo đánh giá kết quả</w:t>
      </w:r>
      <w:r>
        <w:rPr>
          <w:rFonts w:ascii="Times New Roman" w:hAnsi="Times New Roman"/>
          <w:sz w:val="28"/>
          <w:szCs w:val="28"/>
        </w:rPr>
        <w:t xml:space="preserve"> </w:t>
      </w:r>
      <w:r>
        <w:rPr>
          <w:rFonts w:ascii="Times New Roman" w:hAnsi="Times New Roman"/>
          <w:sz w:val="28"/>
          <w:szCs w:val="28"/>
        </w:rPr>
        <w:t xml:space="preserve">thực hiện chính sách hỗ trợ </w:t>
      </w:r>
      <w:r>
        <w:rPr>
          <w:rFonts w:ascii="Times New Roman" w:hAnsi="Times New Roman"/>
          <w:sz w:val="28"/>
          <w:szCs w:val="28"/>
        </w:rPr>
        <w:t xml:space="preserve">có liên quan đến dự thảo Nghị quyết thay thế</w:t>
      </w:r>
      <w:r>
        <w:rPr>
          <w:rFonts w:ascii="Times New Roman" w:hAnsi="Times New Roman"/>
          <w:bCs/>
          <w:sz w:val="28"/>
          <w:szCs w:val="28"/>
        </w:rPr>
        <w:t xml:space="preserve"> </w:t>
      </w:r>
      <w:r>
        <w:rPr>
          <w:rFonts w:ascii="Times New Roman" w:hAnsi="Times New Roman"/>
          <w:sz w:val="28"/>
          <w:szCs w:val="28"/>
        </w:rPr>
        <w:t xml:space="preserve">Nghị quyết số 100/2025/NQ-HĐND ngày 28/3/2025</w:t>
      </w:r>
      <w:r>
        <w:rPr>
          <w:rFonts w:ascii="Times New Roman" w:hAnsi="Times New Roman"/>
          <w:sz w:val="28"/>
          <w:szCs w:val="28"/>
        </w:rPr>
        <w:t xml:space="preserve"> của</w:t>
      </w:r>
      <w:r>
        <w:rPr>
          <w:rFonts w:ascii="Times New Roman" w:hAnsi="Times New Roman"/>
          <w:sz w:val="28"/>
          <w:szCs w:val="28"/>
        </w:rPr>
        <w:t xml:space="preserve"> </w:t>
      </w:r>
      <w:r>
        <w:rPr>
          <w:rFonts w:ascii="Times New Roman" w:hAnsi="Times New Roman"/>
          <w:sz w:val="28"/>
          <w:szCs w:val="28"/>
        </w:rPr>
        <w:t xml:space="preserve">Hội đồng nhân dân tỉnh Tây Ninh (trước sáp nhập) </w:t>
      </w:r>
      <w:r>
        <w:rPr>
          <w:rFonts w:ascii="Times New Roman" w:hAnsi="Times New Roman"/>
          <w:sz w:val="28"/>
          <w:szCs w:val="28"/>
        </w:rPr>
        <w:t xml:space="preserve">q</w:t>
      </w:r>
      <w:r>
        <w:rPr>
          <w:rFonts w:ascii="Times New Roman" w:hAnsi="Times New Roman"/>
          <w:bCs/>
          <w:sz w:val="28"/>
          <w:szCs w:val="28"/>
        </w:rPr>
        <w:t xml:space="preserve">uy định hỗ trợ lãi suất vay vốn tại các tổ chức tín dụng đối với các dự án đầu tư phương tiện xe buýt, đầu tư xây dựng kết cấu hạ tầng phục </w:t>
      </w:r>
      <w:r>
        <w:rPr>
          <w:rFonts w:ascii="Times New Roman" w:hAnsi="Times New Roman"/>
          <w:bCs/>
          <w:sz w:val="28"/>
          <w:szCs w:val="28"/>
        </w:rPr>
        <w:t xml:space="preserve">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 </w:t>
      </w:r>
      <w:r>
        <w:rPr>
          <w:rFonts w:ascii="Times New Roman" w:hAnsi="Times New Roman"/>
          <w:sz w:val="28"/>
          <w:szCs w:val="28"/>
        </w:rPr>
        <w:t xml:space="preserve">với các nội dung như sau:</w:t>
      </w:r>
      <w:r>
        <w:rPr>
          <w:rFonts w:ascii="Times New Roman" w:hAnsi="Times New Roman"/>
          <w:sz w:val="28"/>
          <w:szCs w:val="28"/>
        </w:rPr>
      </w:r>
    </w:p>
    <w:p>
      <w:pPr>
        <w:pBdr/>
        <w:spacing w:line="340" w:lineRule="atLeast"/>
        <w:ind w:firstLine="709"/>
        <w:rPr>
          <w:rFonts w:ascii="Times New Roman" w:hAnsi="Times New Roman"/>
          <w:b/>
          <w:bCs/>
          <w:sz w:val="28"/>
          <w:szCs w:val="28"/>
        </w:rPr>
      </w:pPr>
      <w:r>
        <w:rPr>
          <w:rFonts w:ascii="Times New Roman" w:hAnsi="Times New Roman"/>
          <w:b/>
          <w:bCs/>
          <w:sz w:val="28"/>
          <w:szCs w:val="28"/>
        </w:rPr>
        <w:t xml:space="preserve">1. </w:t>
      </w:r>
      <w:r>
        <w:rPr>
          <w:rFonts w:ascii="Times New Roman" w:hAnsi="Times New Roman"/>
          <w:b/>
          <w:bCs/>
          <w:sz w:val="28"/>
          <w:szCs w:val="28"/>
        </w:rPr>
        <w:t xml:space="preserve">Kết quả</w:t>
      </w:r>
      <w:r>
        <w:rPr>
          <w:rFonts w:ascii="Times New Roman" w:hAnsi="Times New Roman"/>
          <w:b/>
          <w:bCs/>
          <w:sz w:val="28"/>
          <w:szCs w:val="28"/>
        </w:rPr>
        <w:t xml:space="preserve"> thực hi</w:t>
      </w:r>
      <w:r>
        <w:rPr>
          <w:rFonts w:ascii="Times New Roman" w:hAnsi="Times New Roman"/>
          <w:b/>
          <w:bCs/>
          <w:sz w:val="28"/>
          <w:szCs w:val="28"/>
        </w:rPr>
        <w:t xml:space="preserve">ệ</w:t>
      </w:r>
      <w:r>
        <w:rPr>
          <w:rFonts w:ascii="Times New Roman" w:hAnsi="Times New Roman"/>
          <w:b/>
          <w:bCs/>
          <w:sz w:val="28"/>
          <w:szCs w:val="28"/>
        </w:rPr>
        <w:t xml:space="preserve">n </w:t>
      </w:r>
      <w:r>
        <w:rPr>
          <w:rFonts w:ascii="Times New Roman" w:hAnsi="Times New Roman"/>
          <w:b/>
          <w:bCs/>
          <w:sz w:val="28"/>
          <w:szCs w:val="28"/>
        </w:rPr>
        <w:t xml:space="preserve">Nghị quyết số</w:t>
      </w:r>
      <w:r>
        <w:rPr>
          <w:rFonts w:ascii="Times New Roman" w:hAnsi="Times New Roman"/>
          <w:b/>
          <w:bCs/>
          <w:sz w:val="28"/>
          <w:szCs w:val="28"/>
        </w:rPr>
        <w:t xml:space="preserve"> 100/2025</w:t>
      </w:r>
      <w:r>
        <w:rPr>
          <w:rFonts w:ascii="Times New Roman" w:hAnsi="Times New Roman"/>
          <w:b/>
          <w:bCs/>
          <w:sz w:val="28"/>
          <w:szCs w:val="28"/>
        </w:rPr>
        <w:t xml:space="preserve">/NQ-HĐND</w:t>
      </w:r>
      <w:r>
        <w:rPr>
          <w:rFonts w:ascii="Times New Roman" w:hAnsi="Times New Roman"/>
          <w:b/>
          <w:bCs/>
          <w:sz w:val="28"/>
          <w:szCs w:val="28"/>
        </w:rPr>
      </w:r>
    </w:p>
    <w:p>
      <w:pPr>
        <w:pBdr/>
        <w:spacing/>
        <w:ind w:firstLine="709"/>
        <w:rPr>
          <w:rFonts w:ascii="Times New Roman" w:hAnsi="Times New Roman"/>
          <w:sz w:val="28"/>
          <w:szCs w:val="28"/>
        </w:rPr>
      </w:pPr>
      <w:r>
        <w:rPr>
          <w:rFonts w:ascii="Times New Roman" w:hAnsi="Times New Roman"/>
          <w:bCs/>
          <w:spacing w:val="-6"/>
          <w:sz w:val="28"/>
          <w:szCs w:val="28"/>
          <w:lang w:val="nl-NL"/>
        </w:rPr>
        <w:t xml:space="preserve">Thực hiện </w:t>
      </w:r>
      <w:r>
        <w:rPr>
          <w:rFonts w:ascii="Times New Roman" w:hAnsi="Times New Roman"/>
          <w:spacing w:val="-6"/>
          <w:sz w:val="28"/>
          <w:szCs w:val="28"/>
          <w:lang w:val="nl-NL"/>
        </w:rPr>
        <w:t xml:space="preserve">khoản 4 Điều 57 của Luật Đường bộ năm 2024</w:t>
      </w:r>
      <w:r>
        <w:rPr>
          <w:rFonts w:ascii="Times New Roman" w:hAnsi="Times New Roman"/>
          <w:iCs/>
          <w:spacing w:val="-6"/>
          <w:sz w:val="28"/>
          <w:szCs w:val="28"/>
          <w:lang w:val="nl-NL"/>
        </w:rPr>
        <w:t xml:space="preserve">: “ </w:t>
      </w:r>
      <w:r>
        <w:rPr>
          <w:rFonts w:ascii="Times New Roman" w:hAnsi="Times New Roman" w:eastAsiaTheme="minorHAnsi"/>
          <w:i/>
          <w:spacing w:val="-6"/>
          <w:sz w:val="28"/>
          <w:szCs w:val="28"/>
          <w:lang w:val="nl-NL"/>
        </w:rPr>
        <w:t xml:space="preserve">Hội đồng nhân dân cấp tỉnh căn cứ vào nguồn lực địa phương quyết định hỗ trợ lãi suất vay vốn tại các tổ chức tín dụng đối với các dự án đầu tư phương tiện xe buýt, đầu tư xây d</w:t>
      </w:r>
      <w:r>
        <w:rPr>
          <w:rFonts w:ascii="Times New Roman" w:hAnsi="Times New Roman" w:eastAsiaTheme="minorHAnsi"/>
          <w:i/>
          <w:spacing w:val="-6"/>
          <w:sz w:val="28"/>
          <w:szCs w:val="28"/>
          <w:lang w:val="nl-NL"/>
        </w:rPr>
        <w:t xml:space="preserve">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w:t>
      </w:r>
      <w:r>
        <w:rPr>
          <w:rFonts w:ascii="Times New Roman" w:hAnsi="Times New Roman" w:eastAsiaTheme="minorHAnsi"/>
          <w:iCs/>
          <w:spacing w:val="-6"/>
          <w:sz w:val="28"/>
          <w:szCs w:val="28"/>
          <w:lang w:val="nl-NL"/>
        </w:rPr>
        <w:t xml:space="preserve">Hội đồng nhân dân tỉnh Tây Ninh </w:t>
      </w:r>
      <w:r>
        <w:rPr>
          <w:rFonts w:ascii="Times New Roman" w:hAnsi="Times New Roman"/>
          <w:sz w:val="28"/>
          <w:szCs w:val="28"/>
        </w:rPr>
        <w:t xml:space="preserve">(trước sáp nhập) đã ban hành Nghị quyết </w:t>
      </w:r>
      <w:r>
        <w:rPr>
          <w:rFonts w:ascii="Times New Roman" w:hAnsi="Times New Roman"/>
          <w:sz w:val="28"/>
          <w:szCs w:val="28"/>
          <w:lang w:val="nl-NL"/>
        </w:rPr>
        <w:t xml:space="preserve">số 100/2025/NQ-HĐND ngày 28/3/2025 </w:t>
      </w:r>
      <w:r>
        <w:rPr>
          <w:rFonts w:ascii="Times New Roman" w:hAnsi="Times New Roman"/>
          <w:sz w:val="28"/>
          <w:szCs w:val="28"/>
        </w:rPr>
        <w:t xml:space="preserve">quy định hỗ trợ lãi suất vay vốn tại các tổ chức tín dụng đối với các dự án đầu tư phương tiện xe buýt, đầu tư xây dựng kết cấu hạ tầng phục </w:t>
      </w:r>
      <w:r>
        <w:rPr>
          <w:rFonts w:ascii="Times New Roman" w:hAnsi="Times New Roman"/>
          <w:sz w:val="28"/>
          <w:szCs w:val="28"/>
        </w:rPr>
        <w:t xml:space="preserve">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r>
        <w:rPr>
          <w:rFonts w:ascii="Times New Roman" w:hAnsi="Times New Roman"/>
          <w:sz w:val="28"/>
          <w:szCs w:val="28"/>
        </w:rPr>
      </w:r>
    </w:p>
    <w:p>
      <w:pPr>
        <w:pBdr/>
        <w:spacing/>
        <w:ind w:firstLine="709"/>
        <w:rPr>
          <w:rFonts w:ascii="Times New Roman" w:hAnsi="Times New Roman"/>
          <w:sz w:val="28"/>
          <w:szCs w:val="28"/>
          <w:lang w:val="nl-NL"/>
        </w:rPr>
      </w:pPr>
      <w:r>
        <w:rPr>
          <w:rFonts w:ascii="Times New Roman" w:hAnsi="Times New Roman"/>
          <w:iCs/>
          <w:sz w:val="28"/>
          <w:szCs w:val="28"/>
        </w:rPr>
        <w:t xml:space="preserve"> Trên cơ sở Nghị quyết số </w:t>
      </w:r>
      <w:r>
        <w:rPr>
          <w:rFonts w:ascii="Times New Roman" w:hAnsi="Times New Roman"/>
          <w:sz w:val="28"/>
          <w:szCs w:val="28"/>
          <w:lang w:val="nl-NL"/>
        </w:rPr>
        <w:t xml:space="preserve">100/2025/NQ-HĐND, </w:t>
      </w:r>
      <w:r>
        <w:rPr>
          <w:rFonts w:ascii="Times New Roman" w:hAnsi="Times New Roman"/>
          <w:sz w:val="28"/>
          <w:szCs w:val="28"/>
          <w:lang w:val="nl-NL"/>
        </w:rPr>
        <w:t xml:space="preserve">qua thời gian triển khai đến nay </w:t>
      </w:r>
      <w:r>
        <w:rPr>
          <w:rFonts w:ascii="Times New Roman" w:hAnsi="Times New Roman"/>
          <w:spacing w:val="-6"/>
          <w:sz w:val="28"/>
          <w:szCs w:val="28"/>
          <w:lang w:val="nl-NL"/>
        </w:rPr>
        <w:t xml:space="preserve">với kết quả </w:t>
      </w:r>
      <w:r>
        <w:rPr>
          <w:rFonts w:ascii="Times New Roman" w:hAnsi="Times New Roman"/>
          <w:sz w:val="28"/>
          <w:szCs w:val="28"/>
          <w:lang w:val="nl-NL"/>
        </w:rPr>
        <w:t xml:space="preserve">cụ thể như sau:</w:t>
      </w:r>
      <w:r>
        <w:rPr>
          <w:rFonts w:ascii="Times New Roman" w:hAnsi="Times New Roman"/>
          <w:sz w:val="28"/>
          <w:szCs w:val="28"/>
          <w:lang w:val="nl-NL"/>
        </w:rPr>
      </w:r>
    </w:p>
    <w:p>
      <w:pPr>
        <w:pBdr/>
        <w:spacing/>
        <w:ind w:firstLine="709"/>
        <w:rPr>
          <w:rFonts w:ascii="Times New Roman" w:hAnsi="Times New Roman"/>
          <w:sz w:val="28"/>
          <w:szCs w:val="28"/>
        </w:rPr>
      </w:pPr>
      <w:r>
        <w:rPr>
          <w:rFonts w:ascii="Times New Roman" w:hAnsi="Times New Roman"/>
          <w:sz w:val="28"/>
          <w:szCs w:val="28"/>
          <w:lang w:val="nl-NL"/>
        </w:rPr>
        <w:t xml:space="preserve">1.1. </w:t>
      </w:r>
      <w:r>
        <w:rPr>
          <w:rFonts w:ascii="Times New Roman" w:hAnsi="Times New Roman"/>
          <w:sz w:val="28"/>
          <w:szCs w:val="28"/>
          <w:lang w:val="nl-NL"/>
        </w:rPr>
        <w:t xml:space="preserve">Đối với chính sách hỗ trợ lãi suất vay vốn đầu tư phương tiện xe buýt (Điều 4 Nghị quyết số 100/2025/NQ-HĐND): </w:t>
      </w:r>
      <w:r>
        <w:rPr>
          <w:rFonts w:ascii="Times New Roman" w:hAnsi="Times New Roman"/>
          <w:sz w:val="28"/>
          <w:szCs w:val="28"/>
        </w:rPr>
        <w:t xml:space="preserve">đến thời điểm hiện tại vẫn chưa có </w:t>
      </w:r>
      <w:r>
        <w:rPr>
          <w:rFonts w:ascii="Times New Roman" w:hAnsi="Times New Roman"/>
          <w:sz w:val="28"/>
          <w:szCs w:val="28"/>
        </w:rPr>
        <w:t xml:space="preserve">đơn vị kinh doanh vận tải đầu tư xe buýt đáp ứng điều kiện để được hưởng chính sách hỗ trợ của Nghị quyết (xe buýt chưa qua sử dụng và có năm sản xuất từ 2020 trở về sau) do các đơn vị vận tải còn gặp khó khăn về nguồn vốn đầu tư nên chưa trang bị được xe </w:t>
      </w:r>
      <w:r>
        <w:rPr>
          <w:rFonts w:ascii="Times New Roman" w:hAnsi="Times New Roman"/>
          <w:sz w:val="28"/>
          <w:szCs w:val="28"/>
        </w:rPr>
        <w:t xml:space="preserve">buýt mới để đáp ứng điều kiện của chính sách. Tuy nhiên, hiện nay các đơn vị kinh doanh vận tải đã dần nâng cao chất lượng dịch vụ, tất cả các xe buýt cũ khai thác tuyến trên địa bàn tỉnh đã được đầu tư thay thế bằng xe buýt có chất lượng tốt hơn rất nhiều</w:t>
      </w:r>
      <w:r>
        <w:rPr>
          <w:rFonts w:ascii="Times New Roman" w:hAnsi="Times New Roman"/>
          <w:sz w:val="28"/>
          <w:szCs w:val="28"/>
        </w:rPr>
        <w:t xml:space="preserve"> </w:t>
      </w:r>
      <w:r>
        <w:rPr>
          <w:rFonts w:ascii="Times New Roman" w:hAnsi="Times New Roman"/>
          <w:sz w:val="28"/>
          <w:szCs w:val="28"/>
        </w:rPr>
        <w:t xml:space="preserve">(các xe có năm sản xuất 2012-2018), phục vụ tốt nhu cầu đi lại của người dân bằng xe buýt</w:t>
      </w:r>
      <w:r>
        <w:rPr>
          <w:rFonts w:ascii="Times New Roman" w:hAnsi="Times New Roman"/>
          <w:sz w:val="28"/>
          <w:szCs w:val="28"/>
        </w:rPr>
        <w:t xml:space="preserve">.</w:t>
      </w:r>
      <w:r>
        <w:rPr>
          <w:rFonts w:ascii="Times New Roman" w:hAnsi="Times New Roman"/>
          <w:sz w:val="28"/>
          <w:szCs w:val="28"/>
        </w:rPr>
      </w:r>
    </w:p>
    <w:p>
      <w:pPr>
        <w:pBdr/>
        <w:spacing/>
        <w:ind w:firstLine="709"/>
        <w:rPr>
          <w:rFonts w:ascii="Times New Roman" w:hAnsi="Times New Roman"/>
          <w:sz w:val="28"/>
          <w:szCs w:val="28"/>
          <w:lang w:val="nl-NL"/>
        </w:rPr>
      </w:pPr>
      <w:r>
        <w:rPr>
          <w:rFonts w:ascii="Times New Roman" w:hAnsi="Times New Roman"/>
          <w:sz w:val="28"/>
          <w:szCs w:val="28"/>
          <w:lang w:val="nl-NL"/>
        </w:rPr>
        <w:t xml:space="preserve">1.2.</w:t>
      </w:r>
      <w:r>
        <w:rPr>
          <w:rFonts w:ascii="Times New Roman" w:hAnsi="Times New Roman"/>
          <w:sz w:val="28"/>
          <w:szCs w:val="28"/>
          <w:lang w:val="nl-NL"/>
        </w:rPr>
        <w:t xml:space="preserve"> Đối với chính sách hỗ </w:t>
      </w:r>
      <w:r>
        <w:rPr>
          <w:rFonts w:ascii="Times New Roman" w:hAnsi="Times New Roman"/>
          <w:sz w:val="28"/>
          <w:szCs w:val="28"/>
          <w:lang w:val="nl-NL"/>
        </w:rPr>
        <w:t xml:space="preserve">lãi suất vay vốn đầu tư xây dựng kết cấu hạ tầng phục vụ</w:t>
      </w:r>
      <w:r>
        <w:rPr>
          <w:rFonts w:ascii="Times New Roman" w:hAnsi="Times New Roman"/>
          <w:sz w:val="28"/>
          <w:szCs w:val="28"/>
          <w:lang w:val="nl-NL"/>
        </w:rPr>
        <w:t xml:space="preserve"> vận tải hành khách công cộng bằng xe buýt (Điều </w:t>
      </w:r>
      <w:r>
        <w:rPr>
          <w:rFonts w:ascii="Times New Roman" w:hAnsi="Times New Roman"/>
          <w:sz w:val="28"/>
          <w:szCs w:val="28"/>
          <w:lang w:val="nl-NL"/>
        </w:rPr>
        <w:t xml:space="preserve">5</w:t>
      </w:r>
      <w:r>
        <w:rPr>
          <w:rFonts w:ascii="Times New Roman" w:hAnsi="Times New Roman"/>
          <w:sz w:val="28"/>
          <w:szCs w:val="28"/>
          <w:lang w:val="nl-NL"/>
        </w:rPr>
        <w:t xml:space="preserve"> Nghị quyết số 100/2025/NQ-HĐND): </w:t>
      </w:r>
      <w:r>
        <w:rPr>
          <w:rFonts w:ascii="Times New Roman" w:hAnsi="Times New Roman"/>
          <w:sz w:val="28"/>
          <w:szCs w:val="28"/>
        </w:rPr>
        <w:t xml:space="preserve">chưa có đơn vị kinh doanh vận tải đầu tư dự án để được hưởng chính sách hỗ trợ của Nghị quyết.</w:t>
      </w:r>
      <w:r>
        <w:rPr>
          <w:rFonts w:ascii="Times New Roman" w:hAnsi="Times New Roman"/>
          <w:sz w:val="28"/>
          <w:szCs w:val="28"/>
          <w:lang w:val="nl-NL"/>
        </w:rPr>
      </w:r>
    </w:p>
    <w:p>
      <w:pPr>
        <w:pBdr/>
        <w:spacing/>
        <w:ind w:firstLine="709"/>
        <w:rPr>
          <w:rFonts w:ascii="Times New Roman" w:hAnsi="Times New Roman"/>
          <w:sz w:val="28"/>
          <w:szCs w:val="28"/>
          <w:lang w:val="nl-NL"/>
        </w:rPr>
      </w:pPr>
      <w:r>
        <w:rPr>
          <w:rFonts w:ascii="Times New Roman" w:hAnsi="Times New Roman"/>
          <w:sz w:val="28"/>
          <w:szCs w:val="28"/>
          <w:lang w:val="nl-NL"/>
        </w:rPr>
        <w:t xml:space="preserve">1.3.</w:t>
      </w:r>
      <w:r>
        <w:rPr>
          <w:rFonts w:ascii="Times New Roman" w:hAnsi="Times New Roman"/>
          <w:sz w:val="28"/>
          <w:szCs w:val="28"/>
          <w:lang w:val="nl-NL"/>
        </w:rPr>
        <w:t xml:space="preserve"> Đối với</w:t>
      </w:r>
      <w:r>
        <w:rPr>
          <w:rFonts w:ascii="Times New Roman" w:hAnsi="Times New Roman"/>
          <w:sz w:val="28"/>
          <w:szCs w:val="28"/>
          <w:lang w:val="nl-NL"/>
        </w:rPr>
        <w:t xml:space="preserve"> chính sách</w:t>
      </w:r>
      <w:r>
        <w:rPr>
          <w:rFonts w:ascii="Times New Roman" w:hAnsi="Times New Roman"/>
          <w:sz w:val="28"/>
          <w:szCs w:val="28"/>
          <w:lang w:val="nl-NL"/>
        </w:rPr>
        <w:t xml:space="preserve"> hỗ trợ kinh phí hoạt động</w:t>
      </w:r>
      <w:r>
        <w:rPr>
          <w:rFonts w:ascii="Times New Roman" w:hAnsi="Times New Roman"/>
          <w:sz w:val="28"/>
          <w:szCs w:val="28"/>
          <w:lang w:val="nl-NL"/>
        </w:rPr>
        <w:t xml:space="preserve"> vận tải hành khách công cộng bằng xe buýt (Điều 6 Nghị quyết số 100/2025/NQ-HĐND)</w:t>
      </w:r>
      <w:r>
        <w:rPr>
          <w:rFonts w:ascii="Times New Roman" w:hAnsi="Times New Roman"/>
          <w:sz w:val="28"/>
          <w:szCs w:val="28"/>
          <w:lang w:val="nl-NL"/>
        </w:rPr>
        <w:t xml:space="preserve">:</w:t>
      </w:r>
      <w:r>
        <w:rPr>
          <w:rFonts w:ascii="Times New Roman" w:hAnsi="Times New Roman"/>
          <w:sz w:val="28"/>
          <w:szCs w:val="28"/>
          <w:lang w:val="nl-NL"/>
        </w:rPr>
        <w:t xml:space="preserve"> </w:t>
      </w:r>
      <w:r>
        <w:rPr>
          <w:rFonts w:ascii="Times New Roman" w:hAnsi="Times New Roman"/>
          <w:sz w:val="28"/>
          <w:szCs w:val="28"/>
          <w:lang w:val="nl-NL"/>
        </w:rPr>
        <w:t xml:space="preserve">Từ ngày 01/5/2025 đến ngày 31/12/2025 đã thực hiện </w:t>
      </w:r>
      <w:r>
        <w:rPr>
          <w:rFonts w:ascii="Times New Roman" w:hAnsi="Times New Roman"/>
          <w:sz w:val="28"/>
          <w:szCs w:val="28"/>
          <w:lang w:val="nl-NL"/>
        </w:rPr>
        <w:t xml:space="preserve">thanh toán 1.053.980.000 đồng cho đơn vị</w:t>
      </w:r>
      <w:r>
        <w:rPr>
          <w:rFonts w:ascii="Times New Roman" w:hAnsi="Times New Roman"/>
          <w:sz w:val="28"/>
          <w:szCs w:val="28"/>
          <w:lang w:val="nl-NL"/>
        </w:rPr>
        <w:t xml:space="preserve"> (với tổng số chuyến xe thực hiện là 28.941 chuyến)</w:t>
      </w:r>
      <w:r>
        <w:rPr>
          <w:rFonts w:ascii="Times New Roman" w:hAnsi="Times New Roman"/>
          <w:sz w:val="28"/>
          <w:szCs w:val="28"/>
          <w:lang w:val="nl-NL"/>
        </w:rPr>
        <w:t xml:space="preserve">. </w:t>
      </w:r>
      <w:r>
        <w:rPr>
          <w:rFonts w:ascii="Times New Roman" w:hAnsi="Times New Roman"/>
          <w:sz w:val="28"/>
          <w:szCs w:val="28"/>
          <w:lang w:val="nl-NL"/>
        </w:rPr>
        <w:t xml:space="preserve"> </w:t>
      </w:r>
      <w:r>
        <w:rPr>
          <w:rFonts w:ascii="Times New Roman" w:hAnsi="Times New Roman"/>
          <w:sz w:val="28"/>
          <w:szCs w:val="28"/>
          <w:lang w:val="nl-NL"/>
        </w:rPr>
      </w:r>
    </w:p>
    <w:p>
      <w:pPr>
        <w:pBdr/>
        <w:spacing/>
        <w:ind w:firstLine="709"/>
        <w:rPr>
          <w:rFonts w:ascii="Times New Roman" w:hAnsi="Times New Roman"/>
          <w:sz w:val="28"/>
          <w:szCs w:val="28"/>
          <w:lang w:val="nl-NL"/>
        </w:rPr>
      </w:pPr>
      <w:r>
        <w:rPr>
          <w:rFonts w:ascii="Times New Roman" w:hAnsi="Times New Roman"/>
          <w:sz w:val="28"/>
          <w:szCs w:val="28"/>
          <w:lang w:val="nl-NL"/>
        </w:rPr>
        <w:t xml:space="preserve">1.4.</w:t>
      </w:r>
      <w:r>
        <w:rPr>
          <w:rFonts w:ascii="Times New Roman" w:hAnsi="Times New Roman"/>
          <w:sz w:val="28"/>
          <w:szCs w:val="28"/>
          <w:lang w:val="nl-NL"/>
        </w:rPr>
        <w:t xml:space="preserve"> Đối với </w:t>
      </w:r>
      <w:r>
        <w:rPr>
          <w:rFonts w:ascii="Times New Roman" w:hAnsi="Times New Roman"/>
          <w:sz w:val="28"/>
          <w:szCs w:val="28"/>
          <w:lang w:val="nl-NL"/>
        </w:rPr>
        <w:t xml:space="preserve">chính sách </w:t>
      </w:r>
      <w:r>
        <w:rPr>
          <w:rFonts w:ascii="Times New Roman" w:hAnsi="Times New Roman"/>
          <w:sz w:val="28"/>
          <w:szCs w:val="28"/>
          <w:lang w:val="nl-NL"/>
        </w:rPr>
        <w:t xml:space="preserve">hỗ trợ cho người sử dụng dịch vụ vận tải hành khách công cộng bằng xe buýt thông qua chính sách miễn, giảm giá vé (Điều 7 Nghị quyết số 100/2025/NQ-HĐND): Từ ngày 01/5/2025 đến ngày 31/12/2025 đã thực hiện thanh toán 2.263.328.000 đồng cho đơn vị </w:t>
      </w:r>
      <w:r>
        <w:rPr>
          <w:rFonts w:ascii="Times New Roman" w:hAnsi="Times New Roman"/>
          <w:sz w:val="28"/>
          <w:szCs w:val="28"/>
          <w:lang w:val="nl-NL"/>
        </w:rPr>
        <w:t xml:space="preserve">(</w:t>
      </w:r>
      <w:r>
        <w:rPr>
          <w:rFonts w:ascii="Times New Roman" w:hAnsi="Times New Roman"/>
          <w:sz w:val="28"/>
          <w:szCs w:val="28"/>
          <w:lang w:val="nl-NL"/>
        </w:rPr>
        <w:t xml:space="preserve">với tổng số lượt</w:t>
      </w:r>
      <w:r>
        <w:rPr>
          <w:rFonts w:ascii="Times New Roman" w:hAnsi="Times New Roman"/>
          <w:sz w:val="28"/>
          <w:szCs w:val="28"/>
          <w:lang w:val="nl-NL"/>
        </w:rPr>
        <w:t xml:space="preserve"> </w:t>
      </w:r>
      <w:r>
        <w:rPr>
          <w:rFonts w:ascii="Times New Roman" w:hAnsi="Times New Roman"/>
          <w:sz w:val="28"/>
          <w:szCs w:val="28"/>
          <w:lang w:val="nl-NL"/>
        </w:rPr>
        <w:t xml:space="preserve">miễn, giảm giá vé là 243.590 lượt).</w:t>
      </w:r>
      <w:r>
        <w:rPr>
          <w:rFonts w:ascii="Times New Roman" w:hAnsi="Times New Roman"/>
          <w:sz w:val="28"/>
          <w:szCs w:val="28"/>
          <w:lang w:val="nl-NL"/>
        </w:rPr>
        <w:t xml:space="preserve">   </w:t>
      </w:r>
      <w:r>
        <w:rPr>
          <w:rFonts w:ascii="Times New Roman" w:hAnsi="Times New Roman"/>
          <w:sz w:val="28"/>
          <w:szCs w:val="28"/>
          <w:lang w:val="nl-NL"/>
        </w:rPr>
      </w:r>
    </w:p>
    <w:p>
      <w:pPr>
        <w:pBdr/>
        <w:tabs>
          <w:tab w:val="left" w:leader="none" w:pos="800"/>
        </w:tabs>
        <w:spacing/>
        <w:ind w:firstLine="709"/>
        <w:rPr>
          <w:rFonts w:ascii="Times New Roman" w:hAnsi="Times New Roman"/>
          <w:spacing w:val="-6"/>
          <w:sz w:val="28"/>
          <w:szCs w:val="28"/>
          <w:lang w:val="nl-NL"/>
        </w:rPr>
      </w:pPr>
      <w:r>
        <w:rPr>
          <w:rFonts w:ascii="Times New Roman" w:hAnsi="Times New Roman"/>
          <w:sz w:val="28"/>
          <w:szCs w:val="28"/>
          <w:lang w:val="nl-NL"/>
        </w:rPr>
        <w:t xml:space="preserve"> </w:t>
      </w:r>
      <w:r>
        <w:rPr>
          <w:rFonts w:ascii="Times New Roman" w:hAnsi="Times New Roman"/>
          <w:spacing w:val="-6"/>
          <w:sz w:val="28"/>
          <w:szCs w:val="28"/>
          <w:lang w:val="nl-NL"/>
        </w:rPr>
        <w:t xml:space="preserve">Việc hỗ trợ cho hoạt động vận tải hành khách công cộng bằng xe buýt theo Nghị quyết 100/2025/NQ-HĐND hiện tại mới chỉ áp dụng cho các tuyến hoạt động trên địa bàn của tỉnh Tây Ninh cũ mà chưa áp dụng trên toàn tỉnh Tây Ninh mới. </w:t>
      </w:r>
      <w:r>
        <w:rPr>
          <w:rFonts w:ascii="Times New Roman" w:hAnsi="Times New Roman"/>
          <w:spacing w:val="-6"/>
          <w:sz w:val="28"/>
          <w:szCs w:val="28"/>
          <w:lang w:val="nl-NL"/>
        </w:rPr>
      </w:r>
    </w:p>
    <w:p>
      <w:pPr>
        <w:pBdr/>
        <w:tabs>
          <w:tab w:val="left" w:leader="none" w:pos="567"/>
        </w:tabs>
        <w:spacing w:line="340" w:lineRule="atLeast"/>
        <w:ind w:firstLine="709"/>
        <w:rPr>
          <w:rFonts w:ascii="Times New Roman" w:hAnsi="Times New Roman"/>
          <w:b/>
          <w:bCs/>
          <w:sz w:val="28"/>
          <w:szCs w:val="28"/>
        </w:rPr>
      </w:pPr>
      <w:r>
        <w:rPr>
          <w:rFonts w:ascii="Times New Roman" w:hAnsi="Times New Roman"/>
          <w:b/>
          <w:bCs/>
          <w:sz w:val="28"/>
          <w:szCs w:val="28"/>
        </w:rPr>
        <w:t xml:space="preserve">2. </w:t>
      </w:r>
      <w:r>
        <w:rPr>
          <w:rFonts w:ascii="Times New Roman" w:hAnsi="Times New Roman"/>
          <w:b/>
          <w:bCs/>
          <w:sz w:val="28"/>
          <w:szCs w:val="28"/>
        </w:rPr>
        <w:t xml:space="preserve">Đề xuất, kiến nghị</w:t>
      </w:r>
      <w:r>
        <w:rPr>
          <w:rFonts w:ascii="Times New Roman" w:hAnsi="Times New Roman"/>
          <w:b/>
          <w:bCs/>
          <w:sz w:val="28"/>
          <w:szCs w:val="28"/>
        </w:rPr>
      </w:r>
    </w:p>
    <w:p>
      <w:pPr>
        <w:pBdr/>
        <w:tabs>
          <w:tab w:val="left" w:leader="none" w:pos="567"/>
        </w:tabs>
        <w:spacing w:line="340" w:lineRule="atLeast"/>
        <w:ind w:firstLine="709"/>
        <w:rPr>
          <w:rFonts w:ascii="Times New Roman" w:hAnsi="Times New Roman"/>
          <w:sz w:val="28"/>
          <w:szCs w:val="28"/>
        </w:rPr>
      </w:pPr>
      <w:r>
        <w:rPr>
          <w:rFonts w:ascii="Times New Roman" w:hAnsi="Times New Roman"/>
          <w:spacing w:val="-6"/>
          <w:sz w:val="28"/>
          <w:szCs w:val="28"/>
        </w:rPr>
        <w:t xml:space="preserve">Thực hiện Nghị quyết số 202/2025/QH15 ngày 12/6/2025 của Quốc hội về việc sắp xếp đơn vị hành chính cấp tỉnh; Nghị quyết số 1682/NQ-UBTVQH15</w:t>
      </w:r>
      <w:r>
        <w:rPr>
          <w:rFonts w:ascii="Times New Roman" w:hAnsi="Times New Roman"/>
          <w:spacing w:val="-6"/>
          <w:sz w:val="28"/>
          <w:szCs w:val="28"/>
        </w:rPr>
        <w:t xml:space="preserve"> ngày 16/6/2025 của Ủy ban Thường vụ Quốc hội về việc sắp xếp các đơn vị hành chính cấp xã của tỉnh Tây Ninh năm 2025. Theo đó, sắp xếp toàn bộ diện tích tự nhiên, quy mô dân số của tỉnh Long An và tỉnh Tây Ninh thành tỉnh mới có tên gọi là tỉnh Tây Ninh. </w:t>
      </w:r>
      <w:r>
        <w:rPr>
          <w:rFonts w:ascii="Times New Roman" w:hAnsi="Times New Roman"/>
          <w:iCs/>
          <w:sz w:val="28"/>
          <w:szCs w:val="28"/>
        </w:rPr>
        <w:t xml:space="preserve">Vì vậy, đối tượng áp dụng có sự thay đổi (áp dụng trên địa bàn tỉnh Tây Ninh sau sáp nhập).</w:t>
      </w:r>
      <w:r>
        <w:rPr>
          <w:rFonts w:ascii="Times New Roman" w:hAnsi="Times New Roman"/>
          <w:iCs/>
          <w:sz w:val="28"/>
          <w:szCs w:val="28"/>
        </w:rPr>
        <w:t xml:space="preserve"> Nhằm tiếp tục duy trì chính sách </w:t>
      </w:r>
      <w:r>
        <w:rPr>
          <w:rFonts w:ascii="Times New Roman" w:hAnsi="Times New Roman"/>
          <w:sz w:val="28"/>
          <w:szCs w:val="28"/>
        </w:rPr>
        <w:t xml:space="preserve">hỗ trợ lãi suất vay vốn tại các tổ chức tín dụng đối với các dự án đầu tư phương tiện xe buýt, đầu</w:t>
      </w:r>
      <w:r>
        <w:rPr>
          <w:rFonts w:ascii="Times New Roman" w:hAnsi="Times New Roman"/>
          <w:sz w:val="28"/>
          <w:szCs w:val="28"/>
        </w:rPr>
        <w:t xml:space="preserve">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w:t>
      </w:r>
      <w:r>
        <w:rPr>
          <w:rFonts w:ascii="Times New Roman" w:hAnsi="Times New Roman"/>
          <w:sz w:val="28"/>
          <w:szCs w:val="28"/>
        </w:rPr>
        <w:t xml:space="preserve">giá vé trên địa bàn tỉnh Tây Ninh (sau sáp nhập) và đảm bảo phù hợp với chính quyền địa phương 2 cấp.</w:t>
      </w:r>
      <w:r>
        <w:rPr>
          <w:rFonts w:ascii="Times New Roman" w:hAnsi="Times New Roman"/>
          <w:sz w:val="28"/>
          <w:szCs w:val="28"/>
        </w:rPr>
      </w:r>
    </w:p>
    <w:p>
      <w:pPr>
        <w:pBdr/>
        <w:spacing/>
        <w:ind w:firstLine="709"/>
        <w:rPr>
          <w:rFonts w:ascii="Times New Roman" w:hAnsi="Times New Roman"/>
          <w:spacing w:val="-6"/>
          <w:sz w:val="28"/>
          <w:szCs w:val="28"/>
        </w:rPr>
      </w:pPr>
      <w:r>
        <w:rPr>
          <w:rFonts w:ascii="Times New Roman" w:hAnsi="Times New Roman"/>
          <w:bCs/>
          <w:spacing w:val="-6"/>
          <w:sz w:val="28"/>
          <w:szCs w:val="28"/>
          <w:lang w:val="nl-BE"/>
        </w:rPr>
        <w:t xml:space="preserve">Ngày 07/11/2025 Sở </w:t>
      </w:r>
      <w:r>
        <w:rPr>
          <w:rFonts w:ascii="Times New Roman" w:hAnsi="Times New Roman"/>
          <w:bCs/>
          <w:spacing w:val="-6"/>
          <w:sz w:val="28"/>
          <w:szCs w:val="28"/>
          <w:lang w:val="nl-BE"/>
        </w:rPr>
        <w:t xml:space="preserve">Xây dựng có Tờ trình số 4332/TTr-SXD trình UBND tỉnh xin chủ trương xây dựng văn bản quy phạm pháp luật chính quyền địa phương thuộc lĩnh vực ngành Xây dựng và được Uỷ Ban nhân dân tỉnh chấp thuận chủ trương tại Công văn số 10390/UBND-KTTC ngày 15/12/2025 </w:t>
      </w:r>
      <w:r>
        <w:rPr>
          <w:rFonts w:ascii="Times New Roman" w:hAnsi="Times New Roman"/>
          <w:spacing w:val="-6"/>
          <w:sz w:val="28"/>
          <w:szCs w:val="28"/>
          <w:lang w:val="nl-BE"/>
        </w:rPr>
        <w:t xml:space="preserve">về việc xây dựng văn bản quy phạm pháp luật chính quyền địa phương thuộc lĩnh vực ngành xây dựng. </w:t>
      </w:r>
      <w:r>
        <w:rPr>
          <w:rFonts w:ascii="Times New Roman" w:hAnsi="Times New Roman"/>
          <w:spacing w:val="-6"/>
          <w:sz w:val="28"/>
          <w:szCs w:val="28"/>
        </w:rPr>
      </w:r>
    </w:p>
    <w:p>
      <w:pPr>
        <w:pBdr/>
        <w:tabs>
          <w:tab w:val="left" w:leader="none" w:pos="800"/>
        </w:tabs>
        <w:spacing/>
        <w:ind w:firstLine="709"/>
        <w:rPr>
          <w:rFonts w:ascii="Times New Roman" w:hAnsi="Times New Roman"/>
          <w:sz w:val="28"/>
          <w:szCs w:val="28"/>
          <w:lang w:val="nl-NL"/>
        </w:rPr>
      </w:pPr>
      <w:r>
        <w:rPr>
          <w:rFonts w:ascii="Times New Roman" w:hAnsi="Times New Roman"/>
          <w:spacing w:val="-6"/>
          <w:sz w:val="28"/>
          <w:szCs w:val="28"/>
          <w:lang w:val="nl-NL"/>
        </w:rPr>
        <w:t xml:space="preserve">Từ tình hình thực tế nêu trên</w:t>
      </w:r>
      <w:r>
        <w:rPr>
          <w:rFonts w:ascii="Times New Roman" w:hAnsi="Times New Roman"/>
          <w:spacing w:val="-6"/>
          <w:sz w:val="28"/>
          <w:szCs w:val="28"/>
          <w:lang w:val="nl-NL"/>
        </w:rPr>
        <w:t xml:space="preserve">, </w:t>
      </w:r>
      <w:r>
        <w:rPr>
          <w:rFonts w:ascii="Times New Roman" w:hAnsi="Times New Roman"/>
          <w:spacing w:val="-6"/>
          <w:sz w:val="28"/>
          <w:szCs w:val="28"/>
          <w:lang w:val="nl-NL"/>
        </w:rPr>
        <w:t xml:space="preserve">việc </w:t>
      </w:r>
      <w:r>
        <w:rPr>
          <w:rFonts w:ascii="Times New Roman" w:hAnsi="Times New Roman"/>
          <w:sz w:val="28"/>
          <w:szCs w:val="28"/>
          <w:lang w:val="nl-NL"/>
        </w:rPr>
        <w:t xml:space="preserve">đề nghị ban hành Nghị quyết</w:t>
      </w:r>
      <w:r>
        <w:rPr>
          <w:rFonts w:ascii="Times New Roman" w:hAnsi="Times New Roman"/>
          <w:sz w:val="28"/>
          <w:szCs w:val="28"/>
          <w:lang w:val="nl-NL"/>
        </w:rPr>
        <w:t xml:space="preserve"> mới</w:t>
      </w:r>
      <w:r>
        <w:rPr>
          <w:rFonts w:ascii="Times New Roman" w:hAnsi="Times New Roman"/>
          <w:sz w:val="28"/>
          <w:szCs w:val="28"/>
          <w:lang w:val="nl-NL"/>
        </w:rPr>
        <w:t xml:space="preserve"> thay thế Nghị quyết số 100/2025/NQ-HĐND ngày 28/3/2025 của Hội đồng nhân dân tỉnh quy định </w:t>
      </w:r>
      <w:r>
        <w:rPr>
          <w:rFonts w:ascii="Times New Roman" w:hAnsi="Times New Roman"/>
          <w:bCs/>
          <w:sz w:val="28"/>
          <w:szCs w:val="28"/>
        </w:rPr>
        <w:t xml:space="preserve">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w:t>
      </w:r>
      <w:r>
        <w:rPr>
          <w:rFonts w:ascii="Times New Roman" w:hAnsi="Times New Roman"/>
          <w:bCs/>
          <w:sz w:val="28"/>
          <w:szCs w:val="28"/>
        </w:rPr>
        <w:t xml:space="preserve">g xe buýt; hỗ trợ cho người sử dụng dịch vụ vận tải hành khách công cộng bằng xe buýt thông qua chính sách miễn, giảm giá vé trên địa bàn tỉnh Tây Ninh bằng hình thức văn bản quy phạm pháp luật theo quy định tại  khoản 4 Điều 57 của Luật Đường bộ năm 2024 </w:t>
      </w:r>
      <w:r>
        <w:rPr>
          <w:rFonts w:ascii="Times New Roman" w:hAnsi="Times New Roman"/>
          <w:sz w:val="28"/>
          <w:szCs w:val="28"/>
          <w:lang w:val="nl-NL"/>
        </w:rPr>
        <w:t xml:space="preserve">là cần thiết, phù hợp với quy định của pháp luật và tình hình thực tế của địa phương</w:t>
      </w:r>
      <w:r>
        <w:rPr>
          <w:rFonts w:ascii="Times New Roman" w:hAnsi="Times New Roman"/>
          <w:sz w:val="28"/>
          <w:szCs w:val="28"/>
          <w:lang w:val="nl-NL"/>
        </w:rPr>
        <w:t xml:space="preserve">.</w:t>
      </w:r>
      <w:r>
        <w:rPr>
          <w:rFonts w:ascii="Times New Roman" w:hAnsi="Times New Roman"/>
          <w:sz w:val="28"/>
          <w:szCs w:val="28"/>
          <w:lang w:val="nl-NL"/>
        </w:rPr>
      </w:r>
    </w:p>
    <w:p>
      <w:pPr>
        <w:pBdr/>
        <w:tabs>
          <w:tab w:val="left" w:leader="none" w:pos="851"/>
        </w:tabs>
        <w:spacing w:line="340" w:lineRule="atLeast"/>
        <w:ind w:firstLine="709"/>
        <w:rPr>
          <w:rFonts w:ascii="Times New Roman" w:hAnsi="Times New Roman"/>
          <w:sz w:val="28"/>
          <w:szCs w:val="28"/>
        </w:rPr>
      </w:pPr>
      <w:r>
        <w:rPr>
          <w:rFonts w:ascii="Times New Roman" w:hAnsi="Times New Roman"/>
          <w:spacing w:val="-4"/>
          <w:sz w:val="28"/>
          <w:szCs w:val="28"/>
        </w:rPr>
        <w:t xml:space="preserve">Trên đây là </w:t>
      </w:r>
      <w:r>
        <w:rPr>
          <w:rFonts w:ascii="Times New Roman" w:hAnsi="Times New Roman"/>
          <w:spacing w:val="-4"/>
          <w:sz w:val="28"/>
          <w:szCs w:val="28"/>
        </w:rPr>
        <w:t xml:space="preserve">nội dung báo cáo</w:t>
      </w:r>
      <w:r>
        <w:rPr>
          <w:rFonts w:ascii="Times New Roman" w:hAnsi="Times New Roman"/>
          <w:spacing w:val="-4"/>
          <w:sz w:val="28"/>
          <w:szCs w:val="28"/>
        </w:rPr>
        <w:t xml:space="preserve"> của Sở Xây dựng </w:t>
      </w:r>
      <w:r>
        <w:rPr>
          <w:rFonts w:ascii="Times New Roman" w:hAnsi="Times New Roman"/>
          <w:spacing w:val="-4"/>
          <w:sz w:val="28"/>
          <w:szCs w:val="28"/>
        </w:rPr>
        <w:t xml:space="preserve">về </w:t>
      </w:r>
      <w:r>
        <w:rPr>
          <w:rFonts w:ascii="Times New Roman" w:hAnsi="Times New Roman"/>
          <w:sz w:val="28"/>
          <w:szCs w:val="28"/>
        </w:rPr>
        <w:t xml:space="preserve">thực hiện </w:t>
      </w:r>
      <w:r>
        <w:rPr>
          <w:rFonts w:ascii="Times New Roman" w:hAnsi="Times New Roman"/>
          <w:sz w:val="28"/>
          <w:szCs w:val="28"/>
        </w:rPr>
        <w:t xml:space="preserve">Nghị quyết số 100/2025/NQ-HĐND ngày 28/3/2025 q</w:t>
      </w:r>
      <w:r>
        <w:rPr>
          <w:rFonts w:ascii="Times New Roman" w:hAnsi="Times New Roman"/>
          <w:bCs/>
          <w:sz w:val="28"/>
          <w:szCs w:val="28"/>
        </w:rPr>
        <w:t xml:space="preserve">uy định hỗ trợ lãi suất vay vốn tại các tổ chức tín dụng đối với các dự án đầu tư phương tiện xe buýt, đầu tư xây dựng kết cấu hạ tầng phục</w:t>
      </w:r>
      <w:r>
        <w:rPr>
          <w:rFonts w:ascii="Times New Roman" w:hAnsi="Times New Roman"/>
          <w:bCs/>
          <w:sz w:val="28"/>
          <w:szCs w:val="28"/>
        </w:rPr>
        <w:t xml:space="preserve">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r>
        <w:rPr>
          <w:rFonts w:ascii="Times New Roman" w:hAnsi="Times New Roman"/>
          <w:sz w:val="28"/>
          <w:szCs w:val="28"/>
        </w:rPr>
        <w:t xml:space="preserve">./.</w:t>
      </w:r>
      <w:r>
        <w:rPr>
          <w:rFonts w:ascii="Times New Roman" w:hAnsi="Times New Roman"/>
          <w:sz w:val="28"/>
          <w:szCs w:val="28"/>
        </w:rPr>
      </w:r>
    </w:p>
    <w:p>
      <w:pPr>
        <w:pBdr/>
        <w:tabs>
          <w:tab w:val="left" w:leader="none" w:pos="851"/>
        </w:tabs>
        <w:spacing w:after="0" w:line="276" w:lineRule="auto"/>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tbl>
      <w:tblPr>
        <w:tblStyle w:val="792"/>
        <w:tblW w:w="9351"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820"/>
        <w:gridCol w:w="4531"/>
      </w:tblGrid>
      <w:tr>
        <w:trPr/>
        <w:tc>
          <w:tcPr>
            <w:tcBorders/>
            <w:tcW w:w="4820" w:type="dxa"/>
            <w:textDirection w:val="lrTb"/>
            <w:noWrap w:val="false"/>
          </w:tcPr>
          <w:p>
            <w:pPr>
              <w:pBdr/>
              <w:tabs>
                <w:tab w:val="left" w:leader="none" w:pos="851"/>
              </w:tabs>
              <w:spacing w:after="0" w:before="0"/>
              <w:ind w:firstLine="0"/>
              <w:rPr>
                <w:rFonts w:ascii="Times New Roman" w:hAnsi="Times New Roman"/>
                <w:b/>
                <w:i/>
              </w:rPr>
            </w:pPr>
            <w:r>
              <w:rPr>
                <w:rFonts w:ascii="Times New Roman" w:hAnsi="Times New Roman"/>
                <w:b/>
                <w:i/>
              </w:rPr>
              <w:t xml:space="preserve">Nơi nhận:</w:t>
            </w:r>
            <w:r>
              <w:rPr>
                <w:rFonts w:ascii="Times New Roman" w:hAnsi="Times New Roman"/>
                <w:b/>
                <w:i/>
              </w:rPr>
            </w:r>
          </w:p>
          <w:p>
            <w:pPr>
              <w:pBdr/>
              <w:tabs>
                <w:tab w:val="left" w:leader="none" w:pos="851"/>
              </w:tabs>
              <w:spacing w:after="0" w:before="0"/>
              <w:ind w:firstLine="0"/>
              <w:rPr>
                <w:rFonts w:ascii="Times New Roman" w:hAnsi="Times New Roman"/>
              </w:rPr>
            </w:pPr>
            <w:r>
              <w:rPr>
                <w:rFonts w:ascii="Times New Roman" w:hAnsi="Times New Roman"/>
              </w:rPr>
              <w:t xml:space="preserve">- UBND tỉnh (b/cáo);</w:t>
            </w:r>
            <w:r>
              <w:rPr>
                <w:rFonts w:ascii="Times New Roman" w:hAnsi="Times New Roman"/>
              </w:rPr>
            </w:r>
          </w:p>
          <w:p>
            <w:pPr>
              <w:pBdr/>
              <w:tabs>
                <w:tab w:val="left" w:leader="none" w:pos="851"/>
              </w:tabs>
              <w:spacing w:after="0" w:before="0"/>
              <w:ind w:firstLine="0"/>
              <w:rPr>
                <w:rFonts w:ascii="Times New Roman" w:hAnsi="Times New Roman"/>
              </w:rPr>
            </w:pPr>
            <w:r>
              <w:rPr>
                <w:rFonts w:ascii="Times New Roman" w:hAnsi="Times New Roman"/>
              </w:rPr>
              <w:t xml:space="preserve">- Sở Tư pháp (p/hợp);</w:t>
            </w:r>
            <w:r>
              <w:rPr>
                <w:rFonts w:ascii="Times New Roman" w:hAnsi="Times New Roman"/>
              </w:rPr>
            </w:r>
          </w:p>
          <w:p>
            <w:pPr>
              <w:pBdr/>
              <w:tabs>
                <w:tab w:val="left" w:leader="none" w:pos="851"/>
              </w:tabs>
              <w:spacing w:after="0" w:before="0"/>
              <w:ind w:firstLine="0"/>
              <w:rPr>
                <w:rFonts w:ascii="Times New Roman" w:hAnsi="Times New Roman"/>
              </w:rPr>
            </w:pPr>
            <w:r>
              <w:rPr>
                <w:rFonts w:ascii="Times New Roman" w:hAnsi="Times New Roman"/>
              </w:rPr>
              <w:t xml:space="preserve">- Ban Giám đốc Sở;</w:t>
            </w:r>
            <w:r>
              <w:rPr>
                <w:rFonts w:ascii="Times New Roman" w:hAnsi="Times New Roman"/>
              </w:rPr>
            </w:r>
          </w:p>
          <w:p>
            <w:pPr>
              <w:pBdr/>
              <w:tabs>
                <w:tab w:val="left" w:leader="none" w:pos="851"/>
              </w:tabs>
              <w:spacing w:after="0" w:before="0"/>
              <w:ind w:firstLine="0"/>
              <w:rPr>
                <w:rFonts w:ascii="Times New Roman" w:hAnsi="Times New Roman"/>
              </w:rPr>
            </w:pPr>
            <w:r>
              <w:rPr>
                <w:rFonts w:ascii="Times New Roman" w:hAnsi="Times New Roman"/>
              </w:rPr>
              <w:t xml:space="preserve">- Văn phòng Sở;</w:t>
            </w:r>
            <w:r>
              <w:rPr>
                <w:rFonts w:ascii="Times New Roman" w:hAnsi="Times New Roman"/>
              </w:rPr>
            </w:r>
          </w:p>
          <w:p>
            <w:pPr>
              <w:pBdr/>
              <w:tabs>
                <w:tab w:val="left" w:leader="none" w:pos="851"/>
              </w:tabs>
              <w:spacing w:after="0" w:before="0"/>
              <w:ind w:firstLine="0"/>
              <w:rPr>
                <w:rFonts w:ascii="Times New Roman" w:hAnsi="Times New Roman"/>
                <w:sz w:val="28"/>
                <w:szCs w:val="28"/>
              </w:rPr>
            </w:pPr>
            <w:r>
              <w:rPr>
                <w:rFonts w:ascii="Times New Roman" w:hAnsi="Times New Roman"/>
              </w:rPr>
              <w:t xml:space="preserve">- Lưu: VT, QLVT.</w:t>
            </w:r>
            <w:r>
              <w:rPr>
                <w:rFonts w:ascii="Times New Roman" w:hAnsi="Times New Roman"/>
                <w:sz w:val="28"/>
                <w:szCs w:val="28"/>
              </w:rPr>
            </w:r>
          </w:p>
        </w:tc>
        <w:tc>
          <w:tcPr>
            <w:tcBorders/>
            <w:tcW w:w="4531" w:type="dxa"/>
            <w:textDirection w:val="lrTb"/>
            <w:noWrap w:val="false"/>
          </w:tcPr>
          <w:p>
            <w:pPr>
              <w:pBdr/>
              <w:tabs>
                <w:tab w:val="center" w:leader="none" w:pos="6804"/>
              </w:tabs>
              <w:spacing w:after="0" w:before="0"/>
              <w:ind w:firstLine="0"/>
              <w:jc w:val="center"/>
              <w:rPr>
                <w:rFonts w:ascii="Times New Roman" w:hAnsi="Times New Roman"/>
                <w:b/>
                <w:bCs/>
                <w:sz w:val="28"/>
                <w:szCs w:val="28"/>
              </w:rPr>
            </w:pPr>
            <w:r>
              <w:rPr>
                <w:rFonts w:ascii="Times New Roman" w:hAnsi="Times New Roman"/>
                <w:b/>
                <w:bCs/>
                <w:sz w:val="28"/>
                <w:szCs w:val="28"/>
              </w:rPr>
              <w:t xml:space="preserve">KT. GIÁM ĐỐC</w:t>
            </w:r>
            <w:r>
              <w:rPr>
                <w:rFonts w:ascii="Times New Roman" w:hAnsi="Times New Roman"/>
                <w:b/>
                <w:bCs/>
                <w:sz w:val="28"/>
                <w:szCs w:val="28"/>
              </w:rPr>
            </w:r>
          </w:p>
          <w:p>
            <w:pPr>
              <w:pBdr/>
              <w:tabs>
                <w:tab w:val="center" w:leader="none" w:pos="6804"/>
              </w:tabs>
              <w:spacing w:after="0" w:before="0"/>
              <w:ind w:firstLine="0"/>
              <w:jc w:val="center"/>
              <w:rPr>
                <w:rFonts w:ascii="Times New Roman" w:hAnsi="Times New Roman"/>
                <w:b/>
                <w:bCs/>
                <w:sz w:val="28"/>
                <w:szCs w:val="28"/>
              </w:rPr>
            </w:pPr>
            <w:r>
              <w:rPr>
                <w:rFonts w:ascii="Times New Roman" w:hAnsi="Times New Roman"/>
                <w:b/>
                <w:bCs/>
                <w:sz w:val="28"/>
                <w:szCs w:val="28"/>
              </w:rPr>
              <w:t xml:space="preserve">PHÓ GIÁM ĐỐC</w:t>
            </w:r>
            <w:r>
              <w:rPr>
                <w:rFonts w:ascii="Times New Roman" w:hAnsi="Times New Roman"/>
                <w:b/>
                <w:bCs/>
                <w:sz w:val="28"/>
                <w:szCs w:val="28"/>
              </w:rPr>
            </w:r>
          </w:p>
          <w:p>
            <w:pPr>
              <w:pBdr/>
              <w:tabs>
                <w:tab w:val="center" w:leader="none" w:pos="6804"/>
              </w:tabs>
              <w:spacing w:after="0" w:before="0"/>
              <w:ind w:firstLine="0"/>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tabs>
                <w:tab w:val="center" w:leader="none" w:pos="6804"/>
              </w:tabs>
              <w:spacing w:after="0" w:before="0"/>
              <w:ind w:firstLine="0"/>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tabs>
                <w:tab w:val="center" w:leader="none" w:pos="6804"/>
              </w:tabs>
              <w:spacing w:after="0" w:before="0"/>
              <w:ind w:firstLine="0"/>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tabs>
                <w:tab w:val="center" w:leader="none" w:pos="6804"/>
              </w:tabs>
              <w:spacing w:after="0" w:before="0"/>
              <w:ind w:firstLine="0"/>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tabs>
                <w:tab w:val="center" w:leader="none" w:pos="6804"/>
              </w:tabs>
              <w:spacing w:after="0" w:before="0"/>
              <w:ind w:firstLine="0"/>
              <w:jc w:val="center"/>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Bdr/>
              <w:tabs>
                <w:tab w:val="center" w:leader="none" w:pos="6804"/>
              </w:tabs>
              <w:spacing w:after="0" w:before="0"/>
              <w:ind w:firstLine="0"/>
              <w:jc w:val="center"/>
              <w:rPr>
                <w:rFonts w:ascii="Times New Roman" w:hAnsi="Times New Roman"/>
                <w:sz w:val="28"/>
                <w:szCs w:val="28"/>
              </w:rPr>
            </w:pPr>
            <w:r>
              <w:rPr>
                <w:rFonts w:ascii="Times New Roman" w:hAnsi="Times New Roman"/>
                <w:b/>
                <w:bCs/>
                <w:sz w:val="28"/>
                <w:szCs w:val="28"/>
              </w:rPr>
              <w:t xml:space="preserve">Nguyễn Ngọc Châu</w:t>
            </w:r>
            <w:r>
              <w:rPr>
                <w:rFonts w:ascii="Times New Roman" w:hAnsi="Times New Roman"/>
                <w:sz w:val="28"/>
                <w:szCs w:val="28"/>
              </w:rPr>
            </w:r>
          </w:p>
        </w:tc>
      </w:tr>
    </w:tbl>
    <w:p>
      <w:pPr>
        <w:pBdr/>
        <w:tabs>
          <w:tab w:val="left" w:leader="none" w:pos="851"/>
        </w:tabs>
        <w:spacing w:after="0" w:line="276" w:lineRule="auto"/>
        <w:ind/>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sectPr>
      <w:headerReference w:type="default" r:id="rId9"/>
      <w:footerReference w:type="default" r:id="rId10"/>
      <w:footerReference w:type="first" r:id="rId11"/>
      <w:footnotePr/>
      <w:endnotePr/>
      <w:type w:val="nextPage"/>
      <w:pgSz w:h="16840" w:orient="portrait" w:w="11907"/>
      <w:pgMar w:top="1418" w:right="1134" w:bottom="1134" w:left="1701" w:header="567" w:footer="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ind/>
        <w:rPr/>
      </w:pPr>
      <w:r>
        <w:separator/>
      </w:r>
      <w:r/>
    </w:p>
  </w:endnote>
  <w:endnote w:type="continuationSeparator" w:id="0">
    <w:p>
      <w:pPr>
        <w:pBdr/>
        <w:spacing w:after="0"/>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imSun">
    <w:panose1 w:val="02010600030101010101"/>
  </w:font>
  <w:font w:name="Courier New">
    <w:panose1 w:val="02070309020205020404"/>
  </w:font>
  <w:font w:name=".VnTime">
    <w:panose1 w:val="05040102010807070707"/>
  </w:font>
  <w:font w:name="VNI-Times">
    <w:panose1 w:val="05040102010807070707"/>
  </w:font>
  <w:font w:name="Segoe UI">
    <w:panose1 w:val="020B0502040204020203"/>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7"/>
      <w:pBdr/>
      <w:spacing/>
      <w:ind/>
      <w:jc w:val="right"/>
      <w:rPr>
        <w:rFonts w:ascii="Times New Roman" w:hAnsi="Times New Roman"/>
      </w:rPr>
    </w:pPr>
    <w:r>
      <w:rPr>
        <w:rFonts w:ascii="Times New Roman" w:hAnsi="Times New Roman"/>
      </w:rPr>
    </w:r>
    <w:r>
      <w:rPr>
        <w:rFonts w:ascii="Times New Roman" w:hAnsi="Times New Roman"/>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7"/>
      <w:pBdr/>
      <w:spacing/>
      <w:ind/>
      <w:jc w:val="right"/>
      <w:rPr>
        <w:rFonts w:ascii="Times New Roman" w:hAnsi="Times New Roman"/>
        <w:sz w:val="24"/>
        <w:szCs w:val="24"/>
        <w:lang w:val="en-US"/>
      </w:rPr>
    </w:pPr>
    <w:r>
      <w:rPr>
        <w:rFonts w:ascii="Times New Roman" w:hAnsi="Times New Roman"/>
        <w:sz w:val="24"/>
        <w:szCs w:val="24"/>
        <w:lang w:val="en-US"/>
      </w:rPr>
    </w:r>
    <w:r>
      <w:rPr>
        <w:rFonts w:ascii="Times New Roman" w:hAnsi="Times New Roman"/>
        <w:sz w:val="24"/>
        <w:szCs w:val="24"/>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ind/>
        <w:rPr/>
      </w:pPr>
      <w:r>
        <w:separator/>
      </w:r>
      <w:r/>
    </w:p>
  </w:footnote>
  <w:footnote w:type="continuationSeparator" w:id="0">
    <w:p>
      <w:pPr>
        <w:pBdr/>
        <w:spacing w:after="0"/>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5"/>
      <w:pBdr/>
      <w:spacing w:after="120" w:before="0"/>
      <w:ind w:firstLine="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xml:space="preserve">3</w:t>
    </w:r>
    <w:r>
      <w:rPr>
        <w:rFonts w:ascii="Times New Roman" w:hAnsi="Times New Roman"/>
        <w:sz w:val="24"/>
        <w:szCs w:val="24"/>
      </w:rPr>
      <w:fldChar w:fldCharType="end"/>
    </w:r>
    <w:r>
      <w:rPr>
        <w:rFonts w:ascii="Times New Roman" w:hAnsi="Times New Roman"/>
        <w:sz w:val="24"/>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b/>
        <w:bCs/>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
      <w:numFmt w:val="bullet"/>
      <w:pPr>
        <w:pBdr/>
        <w:spacing/>
        <w:ind w:hanging="360" w:left="1287"/>
      </w:pPr>
      <w:rPr>
        <w:rFonts w:hint="default" w:ascii="Symbol" w:hAnsi="Symbol"/>
      </w:rPr>
      <w:start w:val="1"/>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
    <w:lvl w:ilvl="0">
      <w:isLgl w:val="false"/>
      <w:lvlJc w:val="left"/>
      <w:lvlText w:val="-"/>
      <w:numFmt w:val="bullet"/>
      <w:pPr>
        <w:pBdr/>
        <w:spacing/>
        <w:ind w:hanging="360" w:left="927"/>
      </w:pPr>
      <w:rPr>
        <w:rFonts w:hint="default" w:ascii="Times New Roman" w:hAnsi="Times New Roman" w:eastAsia="Calibri"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3">
    <w:lvl w:ilvl="0">
      <w:isLgl w:val="false"/>
      <w:lvlJc w:val="left"/>
      <w:lvlText w:val="-"/>
      <w:numFmt w:val="bullet"/>
      <w:pPr>
        <w:pBdr/>
        <w:spacing/>
        <w:ind w:hanging="360" w:left="1287"/>
      </w:pPr>
      <w:rPr>
        <w:rFonts w:hint="default" w:ascii="Times New Roman" w:hAnsi="Times New Roman" w:eastAsia="Times New Roman" w:cs="Times New Roman"/>
        <w:b w:val="0"/>
        <w:bCs/>
        <w:sz w:val="22"/>
        <w:szCs w:val="22"/>
      </w:rPr>
      <w:start w:val="17"/>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4">
    <w:lvl w:ilvl="0">
      <w:isLgl w:val="false"/>
      <w:lvlJc w:val="left"/>
      <w:lvlText w:val="-"/>
      <w:numFmt w:val="bullet"/>
      <w:pPr>
        <w:pBdr/>
        <w:spacing/>
        <w:ind w:hanging="360" w:left="1287"/>
      </w:pPr>
      <w:rPr>
        <w:rFonts w:hint="default" w:ascii="Times New Roman" w:hAnsi="Times New Roman" w:eastAsia="Times New Roman" w:cs="Times New Roman"/>
        <w:b w:val="0"/>
        <w:sz w:val="22"/>
        <w:szCs w:val="22"/>
      </w:rPr>
      <w:start w:val="17"/>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5">
    <w:lvl w:ilvl="0">
      <w:isLgl w:val="false"/>
      <w:lvlJc w:val="left"/>
      <w:lvlText w:val="%1."/>
      <w:numFmt w:val="decimal"/>
      <w:pPr>
        <w:pBdr/>
        <w:spacing/>
        <w:ind w:hanging="360" w:left="3765"/>
      </w:pPr>
      <w:rPr>
        <w:rFonts w:hint="default"/>
      </w:rPr>
      <w:start w:val="1"/>
      <w:suff w:val="tab"/>
    </w:lvl>
    <w:lvl w:ilvl="1">
      <w:isLgl w:val="false"/>
      <w:lvlJc w:val="left"/>
      <w:lvlText w:val="%2."/>
      <w:numFmt w:val="lowerLetter"/>
      <w:pPr>
        <w:pBdr/>
        <w:spacing/>
        <w:ind w:hanging="360" w:left="4485"/>
      </w:pPr>
      <w:rPr/>
      <w:start w:val="1"/>
      <w:suff w:val="tab"/>
    </w:lvl>
    <w:lvl w:ilvl="2">
      <w:isLgl w:val="false"/>
      <w:lvlJc w:val="right"/>
      <w:lvlText w:val="%3."/>
      <w:numFmt w:val="lowerRoman"/>
      <w:pPr>
        <w:pBdr/>
        <w:spacing/>
        <w:ind w:hanging="180" w:left="5205"/>
      </w:pPr>
      <w:rPr/>
      <w:start w:val="1"/>
      <w:suff w:val="tab"/>
    </w:lvl>
    <w:lvl w:ilvl="3">
      <w:isLgl w:val="false"/>
      <w:lvlJc w:val="left"/>
      <w:lvlText w:val="%4."/>
      <w:numFmt w:val="decimal"/>
      <w:pPr>
        <w:pBdr/>
        <w:spacing/>
        <w:ind w:hanging="360" w:left="5925"/>
      </w:pPr>
      <w:rPr/>
      <w:start w:val="1"/>
      <w:suff w:val="tab"/>
    </w:lvl>
    <w:lvl w:ilvl="4">
      <w:isLgl w:val="false"/>
      <w:lvlJc w:val="left"/>
      <w:lvlText w:val="%5."/>
      <w:numFmt w:val="lowerLetter"/>
      <w:pPr>
        <w:pBdr/>
        <w:spacing/>
        <w:ind w:hanging="360" w:left="6645"/>
      </w:pPr>
      <w:rPr/>
      <w:start w:val="1"/>
      <w:suff w:val="tab"/>
    </w:lvl>
    <w:lvl w:ilvl="5">
      <w:isLgl w:val="false"/>
      <w:lvlJc w:val="right"/>
      <w:lvlText w:val="%6."/>
      <w:numFmt w:val="lowerRoman"/>
      <w:pPr>
        <w:pBdr/>
        <w:spacing/>
        <w:ind w:hanging="180" w:left="7365"/>
      </w:pPr>
      <w:rPr/>
      <w:start w:val="1"/>
      <w:suff w:val="tab"/>
    </w:lvl>
    <w:lvl w:ilvl="6">
      <w:isLgl w:val="false"/>
      <w:lvlJc w:val="left"/>
      <w:lvlText w:val="%7."/>
      <w:numFmt w:val="decimal"/>
      <w:pPr>
        <w:pBdr/>
        <w:spacing/>
        <w:ind w:hanging="360" w:left="8085"/>
      </w:pPr>
      <w:rPr/>
      <w:start w:val="1"/>
      <w:suff w:val="tab"/>
    </w:lvl>
    <w:lvl w:ilvl="7">
      <w:isLgl w:val="false"/>
      <w:lvlJc w:val="left"/>
      <w:lvlText w:val="%8."/>
      <w:numFmt w:val="lowerLetter"/>
      <w:pPr>
        <w:pBdr/>
        <w:spacing/>
        <w:ind w:hanging="360" w:left="8805"/>
      </w:pPr>
      <w:rPr/>
      <w:start w:val="1"/>
      <w:suff w:val="tab"/>
    </w:lvl>
    <w:lvl w:ilvl="8">
      <w:isLgl w:val="false"/>
      <w:lvlJc w:val="right"/>
      <w:lvlText w:val="%9."/>
      <w:numFmt w:val="lowerRoman"/>
      <w:pPr>
        <w:pBdr/>
        <w:spacing/>
        <w:ind w:hanging="180" w:left="9525"/>
      </w:pPr>
      <w:rPr/>
      <w:start w:val="1"/>
      <w:suff w:val="tab"/>
    </w:lvl>
  </w:abstractNum>
  <w:abstractNum w:abstractNumId="6">
    <w:lvl w:ilvl="0">
      <w:isLgl w:val="false"/>
      <w:lvlJc w:val="left"/>
      <w:lvlText w:val="%1."/>
      <w:numFmt w:val="upperRoman"/>
      <w:pPr>
        <w:pBdr/>
        <w:spacing/>
        <w:ind w:hanging="720" w:left="1282"/>
      </w:pPr>
      <w:rPr>
        <w:rFonts w:hint="default"/>
      </w:rPr>
      <w:start w:val="1"/>
      <w:suff w:val="tab"/>
    </w:lvl>
    <w:lvl w:ilvl="1">
      <w:isLgl w:val="false"/>
      <w:lvlJc w:val="left"/>
      <w:lvlText w:val="%2."/>
      <w:numFmt w:val="lowerLetter"/>
      <w:pPr>
        <w:pBdr/>
        <w:spacing/>
        <w:ind w:hanging="360" w:left="1642"/>
      </w:pPr>
      <w:rPr/>
      <w:start w:val="1"/>
      <w:suff w:val="tab"/>
    </w:lvl>
    <w:lvl w:ilvl="2">
      <w:isLgl w:val="false"/>
      <w:lvlJc w:val="right"/>
      <w:lvlText w:val="%3."/>
      <w:numFmt w:val="lowerRoman"/>
      <w:pPr>
        <w:pBdr/>
        <w:spacing/>
        <w:ind w:hanging="180" w:left="2362"/>
      </w:pPr>
      <w:rPr/>
      <w:start w:val="1"/>
      <w:suff w:val="tab"/>
    </w:lvl>
    <w:lvl w:ilvl="3">
      <w:isLgl w:val="false"/>
      <w:lvlJc w:val="left"/>
      <w:lvlText w:val="%4."/>
      <w:numFmt w:val="decimal"/>
      <w:pPr>
        <w:pBdr/>
        <w:spacing/>
        <w:ind w:hanging="360" w:left="3082"/>
      </w:pPr>
      <w:rPr/>
      <w:start w:val="1"/>
      <w:suff w:val="tab"/>
    </w:lvl>
    <w:lvl w:ilvl="4">
      <w:isLgl w:val="false"/>
      <w:lvlJc w:val="left"/>
      <w:lvlText w:val="%5."/>
      <w:numFmt w:val="lowerLetter"/>
      <w:pPr>
        <w:pBdr/>
        <w:spacing/>
        <w:ind w:hanging="360" w:left="3802"/>
      </w:pPr>
      <w:rPr/>
      <w:start w:val="1"/>
      <w:suff w:val="tab"/>
    </w:lvl>
    <w:lvl w:ilvl="5">
      <w:isLgl w:val="false"/>
      <w:lvlJc w:val="right"/>
      <w:lvlText w:val="%6."/>
      <w:numFmt w:val="lowerRoman"/>
      <w:pPr>
        <w:pBdr/>
        <w:spacing/>
        <w:ind w:hanging="180" w:left="4522"/>
      </w:pPr>
      <w:rPr/>
      <w:start w:val="1"/>
      <w:suff w:val="tab"/>
    </w:lvl>
    <w:lvl w:ilvl="6">
      <w:isLgl w:val="false"/>
      <w:lvlJc w:val="left"/>
      <w:lvlText w:val="%7."/>
      <w:numFmt w:val="decimal"/>
      <w:pPr>
        <w:pBdr/>
        <w:spacing/>
        <w:ind w:hanging="360" w:left="5242"/>
      </w:pPr>
      <w:rPr/>
      <w:start w:val="1"/>
      <w:suff w:val="tab"/>
    </w:lvl>
    <w:lvl w:ilvl="7">
      <w:isLgl w:val="false"/>
      <w:lvlJc w:val="left"/>
      <w:lvlText w:val="%8."/>
      <w:numFmt w:val="lowerLetter"/>
      <w:pPr>
        <w:pBdr/>
        <w:spacing/>
        <w:ind w:hanging="360" w:left="5962"/>
      </w:pPr>
      <w:rPr/>
      <w:start w:val="1"/>
      <w:suff w:val="tab"/>
    </w:lvl>
    <w:lvl w:ilvl="8">
      <w:isLgl w:val="false"/>
      <w:lvlJc w:val="right"/>
      <w:lvlText w:val="%9."/>
      <w:numFmt w:val="lowerRoman"/>
      <w:pPr>
        <w:pBdr/>
        <w:spacing/>
        <w:ind w:hanging="180" w:left="6682"/>
      </w:pPr>
      <w:rPr/>
      <w:start w:val="1"/>
      <w:suff w:val="tab"/>
    </w:lvl>
  </w:abstractNum>
  <w:abstractNum w:abstractNumId="7">
    <w:lvl w:ilvl="0">
      <w:isLgl w:val="false"/>
      <w:lvlJc w:val="left"/>
      <w:lvlText w:val="-"/>
      <w:numFmt w:val="bullet"/>
      <w:pPr>
        <w:pBdr/>
        <w:spacing/>
        <w:ind w:hanging="360" w:left="927"/>
      </w:pPr>
      <w:rPr>
        <w:rFonts w:hint="default" w:ascii="Times New Roman" w:hAnsi="Times New Roman" w:eastAsia="Calibri" w:cs="Times New Roman"/>
      </w:rPr>
      <w:start w:val="1"/>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8">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9">
    <w:lvl w:ilvl="0">
      <w:isLgl w:val="false"/>
      <w:lvlJc w:val="left"/>
      <w:lvlText w:val="%1."/>
      <w:numFmt w:val="decimal"/>
      <w:pPr>
        <w:pBdr/>
        <w:spacing/>
        <w:ind w:hanging="360" w:left="720"/>
      </w:pPr>
      <w:rPr>
        <w:rFonts w:hint="default"/>
        <w:b/>
        <w:bC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lvl w:ilvl="0">
      <w:isLgl w:val="false"/>
      <w:lvlJc w:val="left"/>
      <w:lvlText w:val="%1."/>
      <w:numFmt w:val="decimal"/>
      <w:pPr>
        <w:pBdr/>
        <w:spacing/>
        <w:ind w:hanging="360" w:left="927"/>
      </w:pPr>
      <w:rPr>
        <w:rFonts w:hint="default"/>
        <w:b/>
        <w:bCs/>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1">
    <w:lvl w:ilvl="0">
      <w:isLgl w:val="false"/>
      <w:lvlJc w:val="left"/>
      <w:lvlText w:val="-"/>
      <w:numFmt w:val="bullet"/>
      <w:pPr>
        <w:pBdr/>
        <w:spacing/>
        <w:ind w:hanging="360" w:left="720"/>
      </w:pPr>
      <w:rPr>
        <w:rFonts w:hint="default" w:ascii="Times New Roman" w:hAnsi="Times New Roman" w:eastAsia="Calibri" w:cs="Times New Roman"/>
        <w:b/>
        <w:i/>
        <w:sz w:val="24"/>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lvl w:ilvl="0">
      <w:isLgl w:val="false"/>
      <w:lvlJc w:val="left"/>
      <w:lvlText w:val="Hình %1."/>
      <w:numFmt w:val="decimal"/>
      <w:pPr>
        <w:pBdr/>
        <w:spacing/>
        <w:ind w:hanging="360" w:left="3330"/>
      </w:pPr>
      <w:pStyle w:val="784"/>
      <w:rPr>
        <w:rFonts w:hint="default"/>
        <w:b w:val="0"/>
        <w:i/>
      </w:rPr>
      <w:start w:val="1"/>
      <w:suff w:val="tab"/>
    </w:lvl>
    <w:lvl w:ilvl="1">
      <w:isLgl w:val="false"/>
      <w:lvlJc w:val="left"/>
      <w:lvlText w:val="%2."/>
      <w:numFmt w:val="lowerLetter"/>
      <w:pPr>
        <w:pBdr/>
        <w:spacing/>
        <w:ind w:hanging="360" w:left="2340"/>
      </w:pPr>
      <w:rPr/>
      <w:start w:val="1"/>
      <w:suff w:val="tab"/>
    </w:lvl>
    <w:lvl w:ilvl="2">
      <w:isLgl w:val="false"/>
      <w:lvlJc w:val="right"/>
      <w:lvlText w:val="%3."/>
      <w:numFmt w:val="lowerRoman"/>
      <w:pPr>
        <w:pBdr/>
        <w:spacing/>
        <w:ind w:hanging="180" w:left="3060"/>
      </w:pPr>
      <w:rPr/>
      <w:start w:val="1"/>
      <w:suff w:val="tab"/>
    </w:lvl>
    <w:lvl w:ilvl="3">
      <w:isLgl w:val="false"/>
      <w:lvlJc w:val="left"/>
      <w:lvlText w:val="%4."/>
      <w:numFmt w:val="decimal"/>
      <w:pPr>
        <w:pBdr/>
        <w:spacing/>
        <w:ind w:hanging="360" w:left="3780"/>
      </w:pPr>
      <w:rPr/>
      <w:start w:val="1"/>
      <w:suff w:val="tab"/>
    </w:lvl>
    <w:lvl w:ilvl="4">
      <w:isLgl w:val="false"/>
      <w:lvlJc w:val="left"/>
      <w:lvlText w:val="%5."/>
      <w:numFmt w:val="lowerLetter"/>
      <w:pPr>
        <w:pBdr/>
        <w:spacing/>
        <w:ind w:hanging="360" w:left="4500"/>
      </w:pPr>
      <w:rPr/>
      <w:start w:val="1"/>
      <w:suff w:val="tab"/>
    </w:lvl>
    <w:lvl w:ilvl="5">
      <w:isLgl w:val="false"/>
      <w:lvlJc w:val="right"/>
      <w:lvlText w:val="%6."/>
      <w:numFmt w:val="lowerRoman"/>
      <w:pPr>
        <w:pBdr/>
        <w:spacing/>
        <w:ind w:hanging="180" w:left="5220"/>
      </w:pPr>
      <w:rPr/>
      <w:start w:val="1"/>
      <w:suff w:val="tab"/>
    </w:lvl>
    <w:lvl w:ilvl="6">
      <w:isLgl w:val="false"/>
      <w:lvlJc w:val="left"/>
      <w:lvlText w:val="%7."/>
      <w:numFmt w:val="decimal"/>
      <w:pPr>
        <w:pBdr/>
        <w:spacing/>
        <w:ind w:hanging="360" w:left="5940"/>
      </w:pPr>
      <w:rPr/>
      <w:start w:val="1"/>
      <w:suff w:val="tab"/>
    </w:lvl>
    <w:lvl w:ilvl="7">
      <w:isLgl w:val="false"/>
      <w:lvlJc w:val="left"/>
      <w:lvlText w:val="%8."/>
      <w:numFmt w:val="lowerLetter"/>
      <w:pPr>
        <w:pBdr/>
        <w:spacing/>
        <w:ind w:hanging="360" w:left="6660"/>
      </w:pPr>
      <w:rPr/>
      <w:start w:val="1"/>
      <w:suff w:val="tab"/>
    </w:lvl>
    <w:lvl w:ilvl="8">
      <w:isLgl w:val="false"/>
      <w:lvlJc w:val="right"/>
      <w:lvlText w:val="%9."/>
      <w:numFmt w:val="lowerRoman"/>
      <w:pPr>
        <w:pBdr/>
        <w:spacing/>
        <w:ind w:hanging="180" w:left="7380"/>
      </w:pPr>
      <w:rPr/>
      <w:start w:val="1"/>
      <w:suff w:val="tab"/>
    </w:lvl>
  </w:abstractNum>
  <w:abstractNum w:abstractNumId="13">
    <w:lvl w:ilvl="0">
      <w:isLgl w:val="false"/>
      <w:lvlJc w:val="left"/>
      <w:lvlText w:val="%1."/>
      <w:numFmt w:val="decimal"/>
      <w:pPr>
        <w:pBdr/>
        <w:spacing/>
        <w:ind w:hanging="360" w:left="927"/>
      </w:pPr>
      <w:rPr>
        <w:rFonts w:hint="default"/>
        <w:color w:val="auto"/>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4">
    <w:lvl w:ilvl="0">
      <w:isLgl w:val="false"/>
      <w:lvlJc w:val="left"/>
      <w:lvlText w:val="-"/>
      <w:numFmt w:val="bullet"/>
      <w:pPr>
        <w:pBdr/>
        <w:spacing/>
        <w:ind w:hanging="360" w:left="2204"/>
      </w:pPr>
      <w:rPr>
        <w:rFonts w:hint="default" w:ascii="Times New Roman" w:hAnsi="Times New Roman" w:eastAsia="Times New Roman" w:cs="Times New Roman"/>
        <w:b/>
        <w:sz w:val="22"/>
        <w:szCs w:val="22"/>
      </w:rPr>
      <w:start w:val="17"/>
      <w:suff w:val="tab"/>
    </w:lvl>
    <w:lvl w:ilvl="1">
      <w:isLgl w:val="false"/>
      <w:lvlJc w:val="left"/>
      <w:lvlText w:val="o"/>
      <w:numFmt w:val="bullet"/>
      <w:pPr>
        <w:pBdr/>
        <w:spacing/>
        <w:ind w:hanging="360" w:left="2924"/>
      </w:pPr>
      <w:rPr>
        <w:rFonts w:hint="default" w:ascii="Courier New" w:hAnsi="Courier New" w:cs="Courier New"/>
      </w:rPr>
      <w:start w:val="1"/>
      <w:suff w:val="tab"/>
    </w:lvl>
    <w:lvl w:ilvl="2">
      <w:isLgl w:val="false"/>
      <w:lvlJc w:val="left"/>
      <w:lvlText w:val=""/>
      <w:numFmt w:val="bullet"/>
      <w:pPr>
        <w:pBdr/>
        <w:spacing/>
        <w:ind w:hanging="360" w:left="3644"/>
      </w:pPr>
      <w:rPr>
        <w:rFonts w:hint="default" w:ascii="Wingdings" w:hAnsi="Wingdings"/>
      </w:rPr>
      <w:start w:val="1"/>
      <w:suff w:val="tab"/>
    </w:lvl>
    <w:lvl w:ilvl="3">
      <w:isLgl w:val="false"/>
      <w:lvlJc w:val="left"/>
      <w:lvlText w:val=""/>
      <w:numFmt w:val="bullet"/>
      <w:pPr>
        <w:pBdr/>
        <w:spacing/>
        <w:ind w:hanging="360" w:left="4364"/>
      </w:pPr>
      <w:rPr>
        <w:rFonts w:hint="default" w:ascii="Symbol" w:hAnsi="Symbol"/>
      </w:rPr>
      <w:start w:val="1"/>
      <w:suff w:val="tab"/>
    </w:lvl>
    <w:lvl w:ilvl="4">
      <w:isLgl w:val="false"/>
      <w:lvlJc w:val="left"/>
      <w:lvlText w:val="o"/>
      <w:numFmt w:val="bullet"/>
      <w:pPr>
        <w:pBdr/>
        <w:spacing/>
        <w:ind w:hanging="360" w:left="5084"/>
      </w:pPr>
      <w:rPr>
        <w:rFonts w:hint="default" w:ascii="Courier New" w:hAnsi="Courier New" w:cs="Courier New"/>
      </w:rPr>
      <w:start w:val="1"/>
      <w:suff w:val="tab"/>
    </w:lvl>
    <w:lvl w:ilvl="5">
      <w:isLgl w:val="false"/>
      <w:lvlJc w:val="left"/>
      <w:lvlText w:val=""/>
      <w:numFmt w:val="bullet"/>
      <w:pPr>
        <w:pBdr/>
        <w:spacing/>
        <w:ind w:hanging="360" w:left="5804"/>
      </w:pPr>
      <w:rPr>
        <w:rFonts w:hint="default" w:ascii="Wingdings" w:hAnsi="Wingdings"/>
      </w:rPr>
      <w:start w:val="1"/>
      <w:suff w:val="tab"/>
    </w:lvl>
    <w:lvl w:ilvl="6">
      <w:isLgl w:val="false"/>
      <w:lvlJc w:val="left"/>
      <w:lvlText w:val=""/>
      <w:numFmt w:val="bullet"/>
      <w:pPr>
        <w:pBdr/>
        <w:spacing/>
        <w:ind w:hanging="360" w:left="6524"/>
      </w:pPr>
      <w:rPr>
        <w:rFonts w:hint="default" w:ascii="Symbol" w:hAnsi="Symbol"/>
      </w:rPr>
      <w:start w:val="1"/>
      <w:suff w:val="tab"/>
    </w:lvl>
    <w:lvl w:ilvl="7">
      <w:isLgl w:val="false"/>
      <w:lvlJc w:val="left"/>
      <w:lvlText w:val="o"/>
      <w:numFmt w:val="bullet"/>
      <w:pPr>
        <w:pBdr/>
        <w:spacing/>
        <w:ind w:hanging="360" w:left="7244"/>
      </w:pPr>
      <w:rPr>
        <w:rFonts w:hint="default" w:ascii="Courier New" w:hAnsi="Courier New" w:cs="Courier New"/>
      </w:rPr>
      <w:start w:val="1"/>
      <w:suff w:val="tab"/>
    </w:lvl>
    <w:lvl w:ilvl="8">
      <w:isLgl w:val="false"/>
      <w:lvlJc w:val="left"/>
      <w:lvlText w:val=""/>
      <w:numFmt w:val="bullet"/>
      <w:pPr>
        <w:pBdr/>
        <w:spacing/>
        <w:ind w:hanging="360" w:left="7964"/>
      </w:pPr>
      <w:rPr>
        <w:rFonts w:hint="default" w:ascii="Wingdings" w:hAnsi="Wingdings"/>
      </w:rPr>
      <w:start w:val="1"/>
      <w:suff w:val="tab"/>
    </w:lvl>
  </w:abstractNum>
  <w:abstractNum w:abstractNumId="15">
    <w:lvl w:ilvl="0">
      <w:isLgl w:val="false"/>
      <w:lvlJc w:val="left"/>
      <w:lvlText w:val="-"/>
      <w:numFmt w:val="bullet"/>
      <w:pPr>
        <w:pBdr/>
        <w:spacing/>
        <w:ind w:hanging="360" w:left="927"/>
      </w:pPr>
      <w:rPr>
        <w:rFonts w:hint="default" w:ascii="Times New Roman" w:hAnsi="Times New Roman" w:eastAsia="Calibri" w:cs="Times New Roman"/>
      </w:rPr>
      <w:start w:val="1"/>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16">
    <w:lvl w:ilvl="0">
      <w:isLgl w:val="false"/>
      <w:lvlJc w:val="left"/>
      <w:lvlText w:val="%1)"/>
      <w:numFmt w:val="lowerLetter"/>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7">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8">
    <w:lvl w:ilvl="0">
      <w:isLgl w:val="false"/>
      <w:lvlJc w:val="left"/>
      <w:lvlText w:val="%1)"/>
      <w:numFmt w:val="lowerLetter"/>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9">
    <w:lvl w:ilvl="0">
      <w:isLgl w:val="false"/>
      <w:lvlJc w:val="left"/>
      <w:lvlText w:val="%1)"/>
      <w:numFmt w:val="lowerLetter"/>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21">
    <w:lvl w:ilvl="0">
      <w:isLgl w:val="false"/>
      <w:lvlJc w:val="left"/>
      <w:lvlText w:val="-"/>
      <w:numFmt w:val="bullet"/>
      <w:pPr>
        <w:pBdr/>
        <w:spacing/>
        <w:ind w:hanging="360" w:left="927"/>
      </w:pPr>
      <w:rPr>
        <w:rFonts w:hint="default" w:ascii="Times New Roman" w:hAnsi="Times New Roman" w:eastAsia="Calibri"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2">
    <w:lvl w:ilvl="0">
      <w:isLgl w:val="false"/>
      <w:lvlJc w:val="left"/>
      <w:lvlText w:val="%1."/>
      <w:numFmt w:val="decimal"/>
      <w:pPr>
        <w:pBdr/>
        <w:spacing/>
        <w:ind w:hanging="360" w:left="1070"/>
      </w:pPr>
      <w:rPr>
        <w:b/>
        <w:i w:val="0"/>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12"/>
  </w:num>
  <w:num w:numId="2">
    <w:abstractNumId w:val="4"/>
  </w:num>
  <w:num w:numId="3">
    <w:abstractNumId w:val="13"/>
  </w:num>
  <w:num w:numId="4">
    <w:abstractNumId w:val="21"/>
  </w:num>
  <w:num w:numId="5">
    <w:abstractNumId w:val="15"/>
  </w:num>
  <w:num w:numId="6">
    <w:abstractNumId w:val="14"/>
  </w:num>
  <w:num w:numId="7">
    <w:abstractNumId w:val="6"/>
  </w:num>
  <w:num w:numId="8">
    <w:abstractNumId w:val="9"/>
  </w:num>
  <w:num w:numId="9">
    <w:abstractNumId w:val="8"/>
  </w:num>
  <w:num w:numId="10">
    <w:abstractNumId w:val="10"/>
  </w:num>
  <w:num w:numId="11">
    <w:abstractNumId w:val="5"/>
  </w:num>
  <w:num w:numId="12">
    <w:abstractNumId w:val="0"/>
  </w:num>
  <w:num w:numId="13">
    <w:abstractNumId w:val="2"/>
  </w:num>
  <w:num w:numId="14">
    <w:abstractNumId w:val="1"/>
  </w:num>
  <w:num w:numId="15">
    <w:abstractNumId w:val="17"/>
  </w:num>
  <w:num w:numId="16">
    <w:abstractNumId w:val="7"/>
  </w:num>
  <w:num w:numId="17">
    <w:abstractNumId w:val="19"/>
  </w:num>
  <w:num w:numId="18">
    <w:abstractNumId w:val="18"/>
  </w:num>
  <w:num w:numId="19">
    <w:abstractNumId w:val="1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Calibri" w:cs="Times New Roman"/>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8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1">
    <w:name w:val="List Table 7 Colorful - Accent 2"/>
    <w:basedOn w:val="7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2">
    <w:name w:val="List Table 7 Colorful - Accent 3"/>
    <w:basedOn w:val="7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13">
    <w:name w:val="List Table 7 Colorful - Accent 4"/>
    <w:basedOn w:val="7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14">
    <w:name w:val="List Table 7 Colorful - Accent 5"/>
    <w:basedOn w:val="7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15">
    <w:name w:val="List Table 7 Colorful - Accent 6"/>
    <w:basedOn w:val="7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6">
    <w:name w:val="Lined - Accent"/>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79"/>
    <w:next w:val="779"/>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79"/>
    <w:next w:val="779"/>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4"/>
    <w:basedOn w:val="779"/>
    <w:next w:val="779"/>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79"/>
    <w:next w:val="779"/>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79"/>
    <w:next w:val="779"/>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79"/>
    <w:next w:val="77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79"/>
    <w:next w:val="77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79"/>
    <w:next w:val="77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81"/>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81"/>
    <w:link w:val="139"/>
    <w:uiPriority w:val="9"/>
    <w:pPr>
      <w:pBdr/>
      <w:spacing/>
      <w:ind/>
    </w:pPr>
    <w:rPr>
      <w:rFonts w:ascii="Arial" w:hAnsi="Arial" w:eastAsia="Arial" w:cs="Arial"/>
      <w:color w:val="0f4761" w:themeColor="accent1" w:themeShade="BF"/>
      <w:sz w:val="32"/>
      <w:szCs w:val="32"/>
    </w:rPr>
  </w:style>
  <w:style w:type="character" w:styleId="152">
    <w:name w:val="Heading 4 Char"/>
    <w:basedOn w:val="781"/>
    <w:link w:val="141"/>
    <w:uiPriority w:val="9"/>
    <w:pPr>
      <w:pBdr/>
      <w:spacing/>
      <w:ind/>
    </w:pPr>
    <w:rPr>
      <w:rFonts w:ascii="Arial" w:hAnsi="Arial" w:eastAsia="Arial" w:cs="Arial"/>
      <w:i/>
      <w:iCs/>
      <w:color w:val="0f4761" w:themeColor="accent1" w:themeShade="BF"/>
    </w:rPr>
  </w:style>
  <w:style w:type="character" w:styleId="153">
    <w:name w:val="Heading 5 Char"/>
    <w:basedOn w:val="781"/>
    <w:link w:val="142"/>
    <w:uiPriority w:val="9"/>
    <w:pPr>
      <w:pBdr/>
      <w:spacing/>
      <w:ind/>
    </w:pPr>
    <w:rPr>
      <w:rFonts w:ascii="Arial" w:hAnsi="Arial" w:eastAsia="Arial" w:cs="Arial"/>
      <w:color w:val="0f4761" w:themeColor="accent1" w:themeShade="BF"/>
    </w:rPr>
  </w:style>
  <w:style w:type="character" w:styleId="154">
    <w:name w:val="Heading 6 Char"/>
    <w:basedOn w:val="781"/>
    <w:link w:val="143"/>
    <w:uiPriority w:val="9"/>
    <w:pPr>
      <w:pBdr/>
      <w:spacing/>
      <w:ind/>
    </w:pPr>
    <w:rPr>
      <w:rFonts w:ascii="Arial" w:hAnsi="Arial" w:eastAsia="Arial" w:cs="Arial"/>
      <w:i/>
      <w:iCs/>
      <w:color w:val="595959" w:themeColor="text1" w:themeTint="A6"/>
    </w:rPr>
  </w:style>
  <w:style w:type="character" w:styleId="155">
    <w:name w:val="Heading 7 Char"/>
    <w:basedOn w:val="781"/>
    <w:link w:val="144"/>
    <w:uiPriority w:val="9"/>
    <w:pPr>
      <w:pBdr/>
      <w:spacing/>
      <w:ind/>
    </w:pPr>
    <w:rPr>
      <w:rFonts w:ascii="Arial" w:hAnsi="Arial" w:eastAsia="Arial" w:cs="Arial"/>
      <w:color w:val="595959" w:themeColor="text1" w:themeTint="A6"/>
    </w:rPr>
  </w:style>
  <w:style w:type="character" w:styleId="156">
    <w:name w:val="Heading 8 Char"/>
    <w:basedOn w:val="781"/>
    <w:link w:val="145"/>
    <w:uiPriority w:val="9"/>
    <w:pPr>
      <w:pBdr/>
      <w:spacing/>
      <w:ind/>
    </w:pPr>
    <w:rPr>
      <w:rFonts w:ascii="Arial" w:hAnsi="Arial" w:eastAsia="Arial" w:cs="Arial"/>
      <w:i/>
      <w:iCs/>
      <w:color w:val="272727" w:themeColor="text1" w:themeTint="D8"/>
    </w:rPr>
  </w:style>
  <w:style w:type="character" w:styleId="157">
    <w:name w:val="Heading 9 Char"/>
    <w:basedOn w:val="781"/>
    <w:link w:val="146"/>
    <w:uiPriority w:val="9"/>
    <w:pPr>
      <w:pBdr/>
      <w:spacing/>
      <w:ind/>
    </w:pPr>
    <w:rPr>
      <w:rFonts w:ascii="Arial" w:hAnsi="Arial" w:eastAsia="Arial" w:cs="Arial"/>
      <w:i/>
      <w:iCs/>
      <w:color w:val="272727" w:themeColor="text1" w:themeTint="D8"/>
    </w:rPr>
  </w:style>
  <w:style w:type="paragraph" w:styleId="158">
    <w:name w:val="Title"/>
    <w:basedOn w:val="779"/>
    <w:next w:val="779"/>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81"/>
    <w:link w:val="158"/>
    <w:uiPriority w:val="10"/>
    <w:pPr>
      <w:pBdr/>
      <w:spacing/>
      <w:ind/>
    </w:pPr>
    <w:rPr>
      <w:rFonts w:ascii="Arial" w:hAnsi="Arial" w:eastAsia="Arial" w:cs="Arial"/>
      <w:spacing w:val="-10"/>
      <w:sz w:val="56"/>
      <w:szCs w:val="56"/>
    </w:rPr>
  </w:style>
  <w:style w:type="paragraph" w:styleId="160">
    <w:name w:val="Subtitle"/>
    <w:basedOn w:val="779"/>
    <w:next w:val="779"/>
    <w:link w:val="161"/>
    <w:uiPriority w:val="11"/>
    <w:qFormat/>
    <w:pPr>
      <w:numPr>
        <w:ilvl w:val="1"/>
      </w:numPr>
      <w:pBdr/>
      <w:spacing/>
      <w:ind/>
    </w:pPr>
    <w:rPr>
      <w:color w:val="595959" w:themeColor="text1" w:themeTint="A6"/>
      <w:spacing w:val="15"/>
      <w:sz w:val="28"/>
      <w:szCs w:val="28"/>
    </w:rPr>
  </w:style>
  <w:style w:type="character" w:styleId="161">
    <w:name w:val="Subtitle Char"/>
    <w:basedOn w:val="781"/>
    <w:link w:val="160"/>
    <w:uiPriority w:val="11"/>
    <w:pPr>
      <w:pBdr/>
      <w:spacing/>
      <w:ind/>
    </w:pPr>
    <w:rPr>
      <w:color w:val="595959" w:themeColor="text1" w:themeTint="A6"/>
      <w:spacing w:val="15"/>
      <w:sz w:val="28"/>
      <w:szCs w:val="28"/>
    </w:rPr>
  </w:style>
  <w:style w:type="paragraph" w:styleId="162">
    <w:name w:val="Quote"/>
    <w:basedOn w:val="779"/>
    <w:next w:val="779"/>
    <w:link w:val="163"/>
    <w:uiPriority w:val="29"/>
    <w:qFormat/>
    <w:pPr>
      <w:pBdr/>
      <w:spacing w:before="160"/>
      <w:ind/>
      <w:jc w:val="center"/>
    </w:pPr>
    <w:rPr>
      <w:i/>
      <w:iCs/>
      <w:color w:val="404040" w:themeColor="text1" w:themeTint="BF"/>
    </w:rPr>
  </w:style>
  <w:style w:type="character" w:styleId="163">
    <w:name w:val="Quote Char"/>
    <w:basedOn w:val="781"/>
    <w:link w:val="162"/>
    <w:uiPriority w:val="29"/>
    <w:pPr>
      <w:pBdr/>
      <w:spacing/>
      <w:ind/>
    </w:pPr>
    <w:rPr>
      <w:i/>
      <w:iCs/>
      <w:color w:val="404040" w:themeColor="text1" w:themeTint="BF"/>
    </w:rPr>
  </w:style>
  <w:style w:type="character" w:styleId="165">
    <w:name w:val="Intense Emphasis"/>
    <w:basedOn w:val="781"/>
    <w:uiPriority w:val="21"/>
    <w:qFormat/>
    <w:pPr>
      <w:pBdr/>
      <w:spacing/>
      <w:ind/>
    </w:pPr>
    <w:rPr>
      <w:i/>
      <w:iCs/>
      <w:color w:val="0f4761" w:themeColor="accent1" w:themeShade="BF"/>
    </w:rPr>
  </w:style>
  <w:style w:type="paragraph" w:styleId="166">
    <w:name w:val="Intense Quote"/>
    <w:basedOn w:val="779"/>
    <w:next w:val="77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81"/>
    <w:link w:val="166"/>
    <w:uiPriority w:val="30"/>
    <w:pPr>
      <w:pBdr/>
      <w:spacing/>
      <w:ind/>
    </w:pPr>
    <w:rPr>
      <w:i/>
      <w:iCs/>
      <w:color w:val="0f4761" w:themeColor="accent1" w:themeShade="BF"/>
    </w:rPr>
  </w:style>
  <w:style w:type="character" w:styleId="168">
    <w:name w:val="Intense Reference"/>
    <w:basedOn w:val="781"/>
    <w:uiPriority w:val="32"/>
    <w:qFormat/>
    <w:pPr>
      <w:pBdr/>
      <w:spacing/>
      <w:ind/>
    </w:pPr>
    <w:rPr>
      <w:b/>
      <w:bCs/>
      <w:smallCaps/>
      <w:color w:val="0f4761" w:themeColor="accent1" w:themeShade="BF"/>
      <w:spacing w:val="5"/>
    </w:rPr>
  </w:style>
  <w:style w:type="paragraph" w:styleId="169">
    <w:name w:val="No Spacing"/>
    <w:basedOn w:val="779"/>
    <w:uiPriority w:val="1"/>
    <w:qFormat/>
    <w:pPr>
      <w:pBdr/>
      <w:spacing w:after="0" w:line="240" w:lineRule="auto"/>
      <w:ind/>
    </w:pPr>
  </w:style>
  <w:style w:type="character" w:styleId="170">
    <w:name w:val="Subtle Emphasis"/>
    <w:basedOn w:val="781"/>
    <w:uiPriority w:val="19"/>
    <w:qFormat/>
    <w:pPr>
      <w:pBdr/>
      <w:spacing/>
      <w:ind/>
    </w:pPr>
    <w:rPr>
      <w:i/>
      <w:iCs/>
      <w:color w:val="404040" w:themeColor="text1" w:themeTint="BF"/>
    </w:rPr>
  </w:style>
  <w:style w:type="character" w:styleId="171">
    <w:name w:val="Emphasis"/>
    <w:basedOn w:val="781"/>
    <w:uiPriority w:val="20"/>
    <w:qFormat/>
    <w:pPr>
      <w:pBdr/>
      <w:spacing/>
      <w:ind/>
    </w:pPr>
    <w:rPr>
      <w:i/>
      <w:iCs/>
    </w:rPr>
  </w:style>
  <w:style w:type="character" w:styleId="173">
    <w:name w:val="Subtle Reference"/>
    <w:basedOn w:val="781"/>
    <w:uiPriority w:val="31"/>
    <w:qFormat/>
    <w:pPr>
      <w:pBdr/>
      <w:spacing/>
      <w:ind/>
    </w:pPr>
    <w:rPr>
      <w:smallCaps/>
      <w:color w:val="5a5a5a" w:themeColor="text1" w:themeTint="A5"/>
    </w:rPr>
  </w:style>
  <w:style w:type="character" w:styleId="174">
    <w:name w:val="Book Title"/>
    <w:basedOn w:val="781"/>
    <w:uiPriority w:val="33"/>
    <w:qFormat/>
    <w:pPr>
      <w:pBdr/>
      <w:spacing/>
      <w:ind/>
    </w:pPr>
    <w:rPr>
      <w:b/>
      <w:bCs/>
      <w:i/>
      <w:iCs/>
      <w:spacing w:val="5"/>
    </w:rPr>
  </w:style>
  <w:style w:type="paragraph" w:styleId="179">
    <w:name w:val="Caption"/>
    <w:basedOn w:val="779"/>
    <w:next w:val="779"/>
    <w:uiPriority w:val="35"/>
    <w:unhideWhenUsed/>
    <w:qFormat/>
    <w:pPr>
      <w:pBdr/>
      <w:spacing w:after="200" w:line="240" w:lineRule="auto"/>
      <w:ind/>
    </w:pPr>
    <w:rPr>
      <w:i/>
      <w:iCs/>
      <w:color w:val="0e2841" w:themeColor="text2"/>
      <w:sz w:val="18"/>
      <w:szCs w:val="18"/>
    </w:rPr>
  </w:style>
  <w:style w:type="paragraph" w:styleId="183">
    <w:name w:val="endnote text"/>
    <w:basedOn w:val="779"/>
    <w:link w:val="184"/>
    <w:uiPriority w:val="99"/>
    <w:semiHidden/>
    <w:unhideWhenUsed/>
    <w:pPr>
      <w:pBdr/>
      <w:spacing w:after="0" w:line="240" w:lineRule="auto"/>
      <w:ind/>
    </w:pPr>
    <w:rPr>
      <w:sz w:val="20"/>
      <w:szCs w:val="20"/>
    </w:rPr>
  </w:style>
  <w:style w:type="character" w:styleId="184">
    <w:name w:val="Endnote Text Char"/>
    <w:basedOn w:val="781"/>
    <w:link w:val="183"/>
    <w:uiPriority w:val="99"/>
    <w:semiHidden/>
    <w:pPr>
      <w:pBdr/>
      <w:spacing/>
      <w:ind/>
    </w:pPr>
    <w:rPr>
      <w:sz w:val="20"/>
      <w:szCs w:val="20"/>
    </w:rPr>
  </w:style>
  <w:style w:type="character" w:styleId="185">
    <w:name w:val="endnote reference"/>
    <w:basedOn w:val="781"/>
    <w:uiPriority w:val="99"/>
    <w:semiHidden/>
    <w:unhideWhenUsed/>
    <w:pPr>
      <w:pBdr/>
      <w:spacing/>
      <w:ind/>
    </w:pPr>
    <w:rPr>
      <w:vertAlign w:val="superscript"/>
    </w:rPr>
  </w:style>
  <w:style w:type="character" w:styleId="187">
    <w:name w:val="FollowedHyperlink"/>
    <w:basedOn w:val="781"/>
    <w:uiPriority w:val="99"/>
    <w:semiHidden/>
    <w:unhideWhenUsed/>
    <w:pPr>
      <w:pBdr/>
      <w:spacing/>
      <w:ind/>
    </w:pPr>
    <w:rPr>
      <w:color w:val="954f72" w:themeColor="followedHyperlink"/>
      <w:u w:val="single"/>
    </w:rPr>
  </w:style>
  <w:style w:type="paragraph" w:styleId="188">
    <w:name w:val="toc 1"/>
    <w:basedOn w:val="779"/>
    <w:next w:val="779"/>
    <w:uiPriority w:val="39"/>
    <w:unhideWhenUsed/>
    <w:pPr>
      <w:pBdr/>
      <w:spacing w:after="100"/>
      <w:ind/>
    </w:pPr>
  </w:style>
  <w:style w:type="paragraph" w:styleId="189">
    <w:name w:val="toc 2"/>
    <w:basedOn w:val="779"/>
    <w:next w:val="779"/>
    <w:uiPriority w:val="39"/>
    <w:unhideWhenUsed/>
    <w:pPr>
      <w:pBdr/>
      <w:spacing w:after="100"/>
      <w:ind w:left="220"/>
    </w:pPr>
  </w:style>
  <w:style w:type="paragraph" w:styleId="190">
    <w:name w:val="toc 3"/>
    <w:basedOn w:val="779"/>
    <w:next w:val="779"/>
    <w:uiPriority w:val="39"/>
    <w:unhideWhenUsed/>
    <w:pPr>
      <w:pBdr/>
      <w:spacing w:after="100"/>
      <w:ind w:left="440"/>
    </w:pPr>
  </w:style>
  <w:style w:type="paragraph" w:styleId="191">
    <w:name w:val="toc 4"/>
    <w:basedOn w:val="779"/>
    <w:next w:val="779"/>
    <w:uiPriority w:val="39"/>
    <w:unhideWhenUsed/>
    <w:pPr>
      <w:pBdr/>
      <w:spacing w:after="100"/>
      <w:ind w:left="660"/>
    </w:pPr>
  </w:style>
  <w:style w:type="paragraph" w:styleId="192">
    <w:name w:val="toc 5"/>
    <w:basedOn w:val="779"/>
    <w:next w:val="779"/>
    <w:uiPriority w:val="39"/>
    <w:unhideWhenUsed/>
    <w:pPr>
      <w:pBdr/>
      <w:spacing w:after="100"/>
      <w:ind w:left="880"/>
    </w:pPr>
  </w:style>
  <w:style w:type="paragraph" w:styleId="193">
    <w:name w:val="toc 6"/>
    <w:basedOn w:val="779"/>
    <w:next w:val="779"/>
    <w:uiPriority w:val="39"/>
    <w:unhideWhenUsed/>
    <w:pPr>
      <w:pBdr/>
      <w:spacing w:after="100"/>
      <w:ind w:left="1100"/>
    </w:pPr>
  </w:style>
  <w:style w:type="paragraph" w:styleId="194">
    <w:name w:val="toc 7"/>
    <w:basedOn w:val="779"/>
    <w:next w:val="779"/>
    <w:uiPriority w:val="39"/>
    <w:unhideWhenUsed/>
    <w:pPr>
      <w:pBdr/>
      <w:spacing w:after="100"/>
      <w:ind w:left="1320"/>
    </w:pPr>
  </w:style>
  <w:style w:type="paragraph" w:styleId="195">
    <w:name w:val="toc 8"/>
    <w:basedOn w:val="779"/>
    <w:next w:val="779"/>
    <w:uiPriority w:val="39"/>
    <w:unhideWhenUsed/>
    <w:pPr>
      <w:pBdr/>
      <w:spacing w:after="100"/>
      <w:ind w:left="1540"/>
    </w:pPr>
  </w:style>
  <w:style w:type="paragraph" w:styleId="196">
    <w:name w:val="toc 9"/>
    <w:basedOn w:val="779"/>
    <w:next w:val="779"/>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79"/>
    <w:next w:val="779"/>
    <w:uiPriority w:val="99"/>
    <w:unhideWhenUsed/>
    <w:pPr>
      <w:pBdr/>
      <w:spacing w:after="0" w:afterAutospacing="0"/>
      <w:ind/>
    </w:pPr>
  </w:style>
  <w:style w:type="paragraph" w:styleId="779" w:default="1">
    <w:name w:val="Normal"/>
    <w:qFormat/>
    <w:pPr>
      <w:pBdr/>
      <w:spacing w:after="120" w:before="120"/>
      <w:ind w:firstLine="567"/>
      <w:jc w:val="both"/>
    </w:pPr>
    <w:rPr>
      <w:rFonts w:ascii="Calibri" w:hAnsi="Calibri"/>
      <w:sz w:val="22"/>
      <w:szCs w:val="22"/>
    </w:rPr>
  </w:style>
  <w:style w:type="paragraph" w:styleId="780">
    <w:name w:val="Heading 3"/>
    <w:basedOn w:val="779"/>
    <w:next w:val="779"/>
    <w:link w:val="796"/>
    <w:qFormat/>
    <w:pPr>
      <w:keepNext w:val="true"/>
      <w:pBdr/>
      <w:spacing w:before="0"/>
      <w:ind w:hanging="360" w:left="1080"/>
      <w:outlineLvl w:val="2"/>
    </w:pPr>
    <w:rPr>
      <w:rFonts w:ascii="Times New Roman" w:hAnsi="Times New Roman" w:eastAsia="Times New Roman"/>
      <w:bCs/>
      <w:sz w:val="28"/>
      <w:szCs w:val="24"/>
      <w:lang w:val="fr-FR"/>
    </w:rPr>
  </w:style>
  <w:style w:type="character" w:styleId="781" w:default="1">
    <w:name w:val="Default Paragraph Font"/>
    <w:uiPriority w:val="1"/>
    <w:semiHidden/>
    <w:unhideWhenUsed/>
    <w:pPr>
      <w:pBdr/>
      <w:spacing/>
      <w:ind/>
    </w:pPr>
  </w:style>
  <w:style w:type="table" w:styleId="78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3" w:default="1">
    <w:name w:val="No List"/>
    <w:uiPriority w:val="99"/>
    <w:semiHidden/>
    <w:unhideWhenUsed/>
    <w:pPr>
      <w:pBdr/>
      <w:spacing/>
      <w:ind/>
    </w:pPr>
  </w:style>
  <w:style w:type="paragraph" w:styleId="784" w:customStyle="1">
    <w:name w:val="HINH"/>
    <w:basedOn w:val="779"/>
    <w:qFormat/>
    <w:pPr>
      <w:numPr>
        <w:numId w:val="1"/>
      </w:numPr>
      <w:pBdr/>
      <w:spacing w:line="264" w:lineRule="auto"/>
      <w:ind w:left="360"/>
      <w:jc w:val="center"/>
    </w:pPr>
    <w:rPr>
      <w:rFonts w:ascii="Times New Roman" w:hAnsi="Times New Roman"/>
      <w:i/>
      <w:sz w:val="26"/>
      <w:szCs w:val="26"/>
    </w:rPr>
  </w:style>
  <w:style w:type="paragraph" w:styleId="785">
    <w:name w:val="Header"/>
    <w:basedOn w:val="779"/>
    <w:link w:val="786"/>
    <w:uiPriority w:val="99"/>
    <w:unhideWhenUsed/>
    <w:pPr>
      <w:pBdr/>
      <w:tabs>
        <w:tab w:val="center" w:leader="none" w:pos="4680"/>
        <w:tab w:val="right" w:leader="none" w:pos="9360"/>
      </w:tabs>
      <w:spacing w:after="0"/>
      <w:ind/>
    </w:pPr>
    <w:rPr>
      <w:szCs w:val="20"/>
    </w:rPr>
  </w:style>
  <w:style w:type="character" w:styleId="786" w:customStyle="1">
    <w:name w:val="Header Char"/>
    <w:link w:val="785"/>
    <w:uiPriority w:val="99"/>
    <w:pPr>
      <w:pBdr/>
      <w:spacing/>
      <w:ind/>
    </w:pPr>
    <w:rPr>
      <w:rFonts w:ascii="Calibri" w:hAnsi="Calibri" w:eastAsia="Calibri" w:cs="Times New Roman"/>
      <w:sz w:val="22"/>
    </w:rPr>
  </w:style>
  <w:style w:type="paragraph" w:styleId="787">
    <w:name w:val="Footer"/>
    <w:basedOn w:val="779"/>
    <w:link w:val="788"/>
    <w:uiPriority w:val="99"/>
    <w:unhideWhenUsed/>
    <w:pPr>
      <w:pBdr/>
      <w:tabs>
        <w:tab w:val="center" w:leader="none" w:pos="4680"/>
        <w:tab w:val="right" w:leader="none" w:pos="9360"/>
      </w:tabs>
      <w:spacing w:after="0"/>
      <w:ind/>
    </w:pPr>
    <w:rPr>
      <w:szCs w:val="20"/>
    </w:rPr>
  </w:style>
  <w:style w:type="character" w:styleId="788" w:customStyle="1">
    <w:name w:val="Footer Char"/>
    <w:link w:val="787"/>
    <w:uiPriority w:val="99"/>
    <w:pPr>
      <w:pBdr/>
      <w:spacing/>
      <w:ind/>
    </w:pPr>
    <w:rPr>
      <w:rFonts w:ascii="Calibri" w:hAnsi="Calibri" w:eastAsia="Calibri" w:cs="Times New Roman"/>
      <w:sz w:val="22"/>
    </w:rPr>
  </w:style>
  <w:style w:type="paragraph" w:styleId="789">
    <w:name w:val="Balloon Text"/>
    <w:basedOn w:val="779"/>
    <w:link w:val="790"/>
    <w:uiPriority w:val="99"/>
    <w:semiHidden/>
    <w:unhideWhenUsed/>
    <w:pPr>
      <w:pBdr/>
      <w:spacing w:after="0"/>
      <w:ind/>
    </w:pPr>
    <w:rPr>
      <w:rFonts w:ascii="Segoe UI" w:hAnsi="Segoe UI"/>
      <w:sz w:val="18"/>
      <w:szCs w:val="18"/>
    </w:rPr>
  </w:style>
  <w:style w:type="character" w:styleId="790" w:customStyle="1">
    <w:name w:val="Balloon Text Char"/>
    <w:link w:val="789"/>
    <w:uiPriority w:val="99"/>
    <w:semiHidden/>
    <w:pPr>
      <w:pBdr/>
      <w:spacing/>
      <w:ind/>
    </w:pPr>
    <w:rPr>
      <w:rFonts w:ascii="Segoe UI" w:hAnsi="Segoe UI" w:eastAsia="Calibri" w:cs="Segoe UI"/>
      <w:sz w:val="18"/>
      <w:szCs w:val="18"/>
    </w:rPr>
  </w:style>
  <w:style w:type="paragraph" w:styleId="791">
    <w:name w:val="List Paragraph"/>
    <w:basedOn w:val="779"/>
    <w:link w:val="799"/>
    <w:uiPriority w:val="34"/>
    <w:qFormat/>
    <w:pPr>
      <w:pBdr/>
      <w:spacing/>
      <w:ind w:left="720"/>
      <w:contextualSpacing w:val="true"/>
    </w:pPr>
  </w:style>
  <w:style w:type="table" w:styleId="792">
    <w:name w:val="Table Grid"/>
    <w:basedOn w:val="782"/>
    <w:uiPriority w:val="39"/>
    <w:pPr>
      <w:pBdr/>
      <w:spacing/>
      <w:ind w:firstLine="567"/>
      <w:jc w:val="both"/>
    </w:pPr>
    <w:rPr>
      <w:sz w:val="28"/>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93">
    <w:name w:val="footnote text"/>
    <w:basedOn w:val="779"/>
    <w:link w:val="794"/>
    <w:uiPriority w:val="99"/>
    <w:pPr>
      <w:pBdr/>
      <w:spacing w:before="0" w:line="276" w:lineRule="auto"/>
      <w:ind w:hanging="360" w:left="1080"/>
      <w:jc w:val="left"/>
    </w:pPr>
    <w:rPr>
      <w:rFonts w:ascii="Times New Roman" w:hAnsi="Times New Roman" w:eastAsia="Times New Roman"/>
      <w:sz w:val="20"/>
      <w:szCs w:val="20"/>
    </w:rPr>
  </w:style>
  <w:style w:type="character" w:styleId="794" w:customStyle="1">
    <w:name w:val="Footnote Text Char"/>
    <w:link w:val="793"/>
    <w:uiPriority w:val="99"/>
    <w:pPr>
      <w:pBdr/>
      <w:spacing/>
      <w:ind/>
    </w:pPr>
    <w:rPr>
      <w:rFonts w:eastAsia="Times New Roman"/>
    </w:rPr>
  </w:style>
  <w:style w:type="character" w:styleId="795">
    <w:name w:val="footnote reference"/>
    <w:uiPriority w:val="99"/>
    <w:pPr>
      <w:pBdr/>
      <w:spacing/>
      <w:ind/>
    </w:pPr>
    <w:rPr>
      <w:vertAlign w:val="superscript"/>
    </w:rPr>
  </w:style>
  <w:style w:type="character" w:styleId="796" w:customStyle="1">
    <w:name w:val="Heading 3 Char"/>
    <w:link w:val="780"/>
    <w:pPr>
      <w:pBdr/>
      <w:spacing/>
      <w:ind/>
    </w:pPr>
    <w:rPr>
      <w:rFonts w:eastAsia="Times New Roman"/>
      <w:bCs/>
      <w:sz w:val="28"/>
      <w:szCs w:val="24"/>
      <w:lang w:val="fr-FR"/>
    </w:rPr>
  </w:style>
  <w:style w:type="paragraph" w:styleId="797">
    <w:name w:val="Normal (Web)"/>
    <w:basedOn w:val="779"/>
    <w:uiPriority w:val="99"/>
    <w:unhideWhenUsed/>
    <w:pPr>
      <w:pBdr/>
      <w:spacing w:after="100" w:afterAutospacing="1" w:before="100" w:beforeAutospacing="1"/>
      <w:ind w:firstLine="0"/>
      <w:jc w:val="left"/>
    </w:pPr>
    <w:rPr>
      <w:rFonts w:ascii="Times New Roman" w:hAnsi="Times New Roman" w:eastAsia="Times New Roman"/>
      <w:sz w:val="24"/>
      <w:szCs w:val="24"/>
    </w:rPr>
  </w:style>
  <w:style w:type="character" w:styleId="798">
    <w:name w:val="Hyperlink"/>
    <w:pPr>
      <w:pBdr/>
      <w:spacing/>
      <w:ind/>
    </w:pPr>
    <w:rPr>
      <w:color w:val="0000ff"/>
      <w:u w:val="single"/>
    </w:rPr>
  </w:style>
  <w:style w:type="character" w:styleId="799" w:customStyle="1">
    <w:name w:val="List Paragraph Char"/>
    <w:link w:val="791"/>
    <w:uiPriority w:val="34"/>
    <w:pPr>
      <w:pBdr/>
      <w:spacing/>
      <w:ind/>
    </w:pPr>
    <w:rPr>
      <w:rFonts w:ascii="Calibri" w:hAnsi="Calibri"/>
      <w:sz w:val="22"/>
      <w:szCs w:val="22"/>
    </w:rPr>
  </w:style>
  <w:style w:type="character" w:styleId="800" w:customStyle="1">
    <w:name w:val="Body text (2)_"/>
    <w:link w:val="801"/>
    <w:pPr>
      <w:pBdr/>
      <w:spacing/>
      <w:ind/>
    </w:pPr>
    <w:rPr>
      <w:sz w:val="28"/>
      <w:szCs w:val="28"/>
      <w:shd w:val="clear" w:color="auto" w:fill="ffffff"/>
    </w:rPr>
  </w:style>
  <w:style w:type="paragraph" w:styleId="801" w:customStyle="1">
    <w:name w:val="Body text (2)"/>
    <w:basedOn w:val="779"/>
    <w:link w:val="800"/>
    <w:pPr>
      <w:widowControl w:val="false"/>
      <w:pBdr/>
      <w:shd w:val="clear" w:color="auto" w:fill="ffffff"/>
      <w:spacing w:after="60" w:before="480" w:line="336" w:lineRule="exact"/>
      <w:ind w:firstLine="0"/>
    </w:pPr>
    <w:rPr>
      <w:rFonts w:ascii="Times New Roman" w:hAnsi="Times New Roman"/>
      <w:sz w:val="28"/>
      <w:szCs w:val="28"/>
    </w:rPr>
  </w:style>
  <w:style w:type="paragraph" w:styleId="802" w:customStyle="1">
    <w:name w:val="Char"/>
    <w:basedOn w:val="779"/>
    <w:pPr>
      <w:pBdr/>
      <w:spacing w:after="100" w:afterAutospacing="1" w:before="100" w:beforeAutospacing="1" w:line="360" w:lineRule="exact"/>
      <w:ind w:firstLine="720"/>
    </w:pPr>
    <w:rPr>
      <w:rFonts w:ascii="Arial" w:hAnsi="Arial" w:eastAsia="Times New Roman" w:cs="Arial"/>
    </w:rPr>
  </w:style>
  <w:style w:type="character" w:styleId="803">
    <w:name w:val="Strong"/>
    <w:uiPriority w:val="22"/>
    <w:qFormat/>
    <w:pPr>
      <w:pBdr/>
      <w:spacing/>
      <w:ind/>
    </w:pPr>
    <w:rPr>
      <w:b/>
      <w:bCs/>
    </w:rPr>
  </w:style>
  <w:style w:type="paragraph" w:styleId="804">
    <w:name w:val="Body Text Indent"/>
    <w:basedOn w:val="779"/>
    <w:link w:val="805"/>
    <w:pPr>
      <w:pBdr/>
      <w:spacing w:after="0" w:before="0"/>
      <w:ind w:firstLine="720"/>
    </w:pPr>
    <w:rPr>
      <w:rFonts w:ascii="VNI-Times" w:hAnsi="VNI-Times" w:eastAsia="Times New Roman"/>
      <w:sz w:val="28"/>
      <w:szCs w:val="24"/>
    </w:rPr>
  </w:style>
  <w:style w:type="character" w:styleId="805" w:customStyle="1">
    <w:name w:val="Body Text Indent Char"/>
    <w:link w:val="804"/>
    <w:pPr>
      <w:pBdr/>
      <w:spacing/>
      <w:ind/>
    </w:pPr>
    <w:rPr>
      <w:rFonts w:ascii="VNI-Times" w:hAnsi="VNI-Times" w:eastAsia="Times New Roman"/>
      <w:sz w:val="28"/>
      <w:szCs w:val="24"/>
    </w:rPr>
  </w:style>
  <w:style w:type="paragraph" w:styleId="806">
    <w:name w:val="Body Text"/>
    <w:basedOn w:val="779"/>
    <w:link w:val="807"/>
    <w:uiPriority w:val="99"/>
    <w:semiHidden/>
    <w:unhideWhenUsed/>
    <w:pPr>
      <w:pBdr/>
      <w:spacing/>
      <w:ind/>
    </w:pPr>
  </w:style>
  <w:style w:type="character" w:styleId="807" w:customStyle="1">
    <w:name w:val="Body Text Char"/>
    <w:link w:val="806"/>
    <w:uiPriority w:val="99"/>
    <w:semiHidden/>
    <w:pPr>
      <w:pBdr/>
      <w:spacing/>
      <w:ind/>
    </w:pPr>
    <w:rPr>
      <w:rFonts w:ascii="Calibri" w:hAnsi="Calibri"/>
      <w:sz w:val="22"/>
      <w:szCs w:val="22"/>
    </w:rPr>
  </w:style>
  <w:style w:type="paragraph" w:styleId="808" w:customStyle="1">
    <w:name w:val="abc"/>
    <w:basedOn w:val="779"/>
    <w:pPr>
      <w:pBdr/>
      <w:tabs>
        <w:tab w:val="left" w:leader="none" w:pos="425"/>
      </w:tabs>
      <w:spacing w:after="60" w:before="60" w:line="360" w:lineRule="auto"/>
      <w:ind w:firstLine="425"/>
    </w:pPr>
    <w:rPr>
      <w:rFonts w:ascii=".VnTime" w:hAnsi=".VnTime" w:eastAsia="SimSun" w:cs=".VnTime"/>
      <w:sz w:val="28"/>
      <w:szCs w:val="28"/>
    </w:rPr>
  </w:style>
  <w:style w:type="character" w:styleId="809" w:customStyle="1">
    <w:name w:val="Van b?n n?i dung_"/>
    <w:link w:val="810"/>
    <w:pPr>
      <w:pBdr/>
      <w:spacing/>
      <w:ind/>
    </w:pPr>
    <w:rPr>
      <w:sz w:val="23"/>
      <w:szCs w:val="23"/>
      <w:shd w:val="clear" w:color="auto" w:fill="ffffff"/>
    </w:rPr>
  </w:style>
  <w:style w:type="paragraph" w:styleId="810" w:customStyle="1">
    <w:name w:val="Van b?n n?i dung1"/>
    <w:basedOn w:val="779"/>
    <w:link w:val="809"/>
    <w:pPr>
      <w:widowControl w:val="false"/>
      <w:pBdr/>
      <w:shd w:val="clear" w:color="auto" w:fill="ffffff"/>
      <w:spacing w:after="2880" w:before="360" w:line="326" w:lineRule="exact"/>
      <w:ind w:hanging="380"/>
      <w:jc w:val="center"/>
    </w:pPr>
    <w:rPr>
      <w:rFonts w:ascii="Times New Roman" w:hAnsi="Times New Roman"/>
      <w:sz w:val="23"/>
      <w:szCs w:val="23"/>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7A84-B610-44ED-ADB8-9D8DB156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 ENGINEER</dc:creator>
  <cp:keywords/>
  <cp:lastModifiedBy>Nguyễn Thị Như</cp:lastModifiedBy>
  <cp:revision>12</cp:revision>
  <dcterms:created xsi:type="dcterms:W3CDTF">2026-02-02T05:42:00Z</dcterms:created>
  <dcterms:modified xsi:type="dcterms:W3CDTF">2026-02-02T09:22:40Z</dcterms:modified>
</cp:coreProperties>
</file>